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  <w:r w:rsidRPr="00CA4449">
        <w:rPr>
          <w:rFonts w:ascii="Times New Roman" w:hAnsi="Times New Roman"/>
          <w:lang w:val="hr-HR"/>
        </w:rPr>
        <w:t>Temeljem članka 7</w:t>
      </w:r>
      <w:r>
        <w:rPr>
          <w:rFonts w:ascii="Times New Roman" w:hAnsi="Times New Roman"/>
          <w:lang w:val="hr-HR"/>
        </w:rPr>
        <w:t>1</w:t>
      </w:r>
      <w:r w:rsidRPr="00CA4449">
        <w:rPr>
          <w:rFonts w:ascii="Times New Roman" w:hAnsi="Times New Roman"/>
          <w:lang w:val="hr-HR"/>
        </w:rPr>
        <w:t>. Zakona o komunalnom gospodarstvu („Narodne novine broj: 68/18</w:t>
      </w:r>
      <w:r w:rsidR="003D7E1A">
        <w:rPr>
          <w:rFonts w:ascii="Times New Roman" w:hAnsi="Times New Roman"/>
          <w:lang w:val="hr-HR"/>
        </w:rPr>
        <w:t xml:space="preserve">, </w:t>
      </w:r>
      <w:r w:rsidRPr="00CA4449">
        <w:rPr>
          <w:rFonts w:ascii="Times New Roman" w:hAnsi="Times New Roman"/>
          <w:lang w:val="hr-HR"/>
        </w:rPr>
        <w:t xml:space="preserve"> 110/18</w:t>
      </w:r>
      <w:r w:rsidR="003D7E1A">
        <w:rPr>
          <w:rFonts w:ascii="Times New Roman" w:hAnsi="Times New Roman"/>
          <w:lang w:val="hr-HR"/>
        </w:rPr>
        <w:t xml:space="preserve"> i 32/20</w:t>
      </w:r>
      <w:r>
        <w:rPr>
          <w:rFonts w:ascii="Times New Roman" w:hAnsi="Times New Roman"/>
          <w:lang w:val="hr-HR"/>
        </w:rPr>
        <w:t xml:space="preserve">) i </w:t>
      </w:r>
      <w:r w:rsidRPr="00137AFE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</w:t>
      </w:r>
      <w:r w:rsidR="003D7E1A">
        <w:rPr>
          <w:rFonts w:ascii="Times New Roman" w:hAnsi="Times New Roman"/>
          <w:lang w:val="hr-HR" w:eastAsia="hr-HR"/>
        </w:rPr>
        <w:t xml:space="preserve">, </w:t>
      </w:r>
      <w:r w:rsidRPr="00137AFE">
        <w:rPr>
          <w:rFonts w:ascii="Times New Roman" w:hAnsi="Times New Roman"/>
          <w:lang w:val="hr-HR" w:eastAsia="hr-HR"/>
        </w:rPr>
        <w:t>2/18</w:t>
      </w:r>
      <w:r w:rsidR="003D7E1A">
        <w:rPr>
          <w:rFonts w:ascii="Times New Roman" w:hAnsi="Times New Roman"/>
          <w:lang w:val="hr-HR" w:eastAsia="hr-HR"/>
        </w:rPr>
        <w:t xml:space="preserve"> i 4/20</w:t>
      </w:r>
      <w:r w:rsidRPr="00137AFE">
        <w:rPr>
          <w:rFonts w:ascii="Times New Roman" w:hAnsi="Times New Roman"/>
          <w:lang w:val="hr-HR" w:eastAsia="hr-HR"/>
        </w:rPr>
        <w:t>) ,</w:t>
      </w:r>
      <w:r>
        <w:rPr>
          <w:rFonts w:ascii="Times New Roman" w:hAnsi="Times New Roman"/>
          <w:lang w:val="hr-HR" w:eastAsia="hr-HR"/>
        </w:rPr>
        <w:t xml:space="preserve"> </w:t>
      </w:r>
      <w:r w:rsidRPr="00137AFE">
        <w:rPr>
          <w:rFonts w:ascii="Times New Roman" w:hAnsi="Times New Roman"/>
          <w:lang w:val="hr-HR" w:eastAsia="hr-HR"/>
        </w:rPr>
        <w:t xml:space="preserve">Općinsko vijeće Općine Vladislavci na svojoj </w:t>
      </w:r>
      <w:r w:rsidR="003D7E1A">
        <w:rPr>
          <w:rFonts w:ascii="Times New Roman" w:hAnsi="Times New Roman"/>
          <w:lang w:val="hr-HR" w:eastAsia="hr-HR"/>
        </w:rPr>
        <w:t>24</w:t>
      </w:r>
      <w:r w:rsidRPr="00137AFE">
        <w:rPr>
          <w:rFonts w:ascii="Times New Roman" w:hAnsi="Times New Roman"/>
          <w:lang w:val="hr-HR" w:eastAsia="hr-HR"/>
        </w:rPr>
        <w:t xml:space="preserve">. sjednici održanoj dana </w:t>
      </w:r>
      <w:r w:rsidR="006E6431">
        <w:rPr>
          <w:rFonts w:ascii="Times New Roman" w:hAnsi="Times New Roman"/>
          <w:lang w:val="hr-HR" w:eastAsia="hr-HR"/>
        </w:rPr>
        <w:t>8</w:t>
      </w:r>
      <w:r w:rsidR="00394AC2">
        <w:rPr>
          <w:rFonts w:ascii="Times New Roman" w:hAnsi="Times New Roman"/>
          <w:lang w:val="hr-HR" w:eastAsia="hr-HR"/>
        </w:rPr>
        <w:t>. lipnja</w:t>
      </w:r>
      <w:r w:rsidRPr="00137AFE">
        <w:rPr>
          <w:rFonts w:ascii="Times New Roman" w:hAnsi="Times New Roman"/>
          <w:lang w:val="hr-HR" w:eastAsia="hr-HR"/>
        </w:rPr>
        <w:t xml:space="preserve"> 20</w:t>
      </w:r>
      <w:r w:rsidR="003D7E1A">
        <w:rPr>
          <w:rFonts w:ascii="Times New Roman" w:hAnsi="Times New Roman"/>
          <w:lang w:val="hr-HR" w:eastAsia="hr-HR"/>
        </w:rPr>
        <w:t>20</w:t>
      </w:r>
      <w:r w:rsidRPr="00137AFE">
        <w:rPr>
          <w:rFonts w:ascii="Times New Roman" w:hAnsi="Times New Roman"/>
          <w:lang w:val="hr-HR" w:eastAsia="hr-HR"/>
        </w:rPr>
        <w:t>. godine donosi</w:t>
      </w: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ZAKLJUČAK</w:t>
      </w: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 xml:space="preserve">o usvajanju Izvješća o </w:t>
      </w:r>
      <w:r>
        <w:rPr>
          <w:rFonts w:ascii="Times New Roman" w:hAnsi="Times New Roman"/>
          <w:b/>
          <w:lang w:val="hr-HR" w:eastAsia="hr-HR"/>
        </w:rPr>
        <w:t xml:space="preserve">izvršenju </w:t>
      </w:r>
    </w:p>
    <w:p w:rsidR="00CA0FE7" w:rsidRDefault="00D40880" w:rsidP="00D40880">
      <w:pPr>
        <w:jc w:val="center"/>
        <w:rPr>
          <w:rFonts w:ascii="Times New Roman" w:hAnsi="Times New Roman"/>
          <w:b/>
          <w:lang w:val="hr-HR"/>
        </w:rPr>
      </w:pPr>
      <w:r w:rsidRPr="003D7E1A">
        <w:rPr>
          <w:rFonts w:ascii="Times New Roman" w:hAnsi="Times New Roman"/>
          <w:b/>
          <w:bCs/>
          <w:lang w:val="hr-HR"/>
        </w:rPr>
        <w:t xml:space="preserve">Programa </w:t>
      </w:r>
      <w:r w:rsidR="003D7E1A" w:rsidRPr="003D7E1A">
        <w:rPr>
          <w:rFonts w:ascii="Times New Roman" w:hAnsi="Times New Roman"/>
          <w:b/>
          <w:lang w:val="hr-HR"/>
        </w:rPr>
        <w:t xml:space="preserve">građenja komunalne infrastrukture </w:t>
      </w:r>
    </w:p>
    <w:p w:rsidR="00D40880" w:rsidRPr="003D7E1A" w:rsidRDefault="003D7E1A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3D7E1A">
        <w:rPr>
          <w:rFonts w:ascii="Times New Roman" w:hAnsi="Times New Roman"/>
          <w:b/>
          <w:lang w:val="hr-HR"/>
        </w:rPr>
        <w:t>na području Općine Vladislavci u 2019. godini</w:t>
      </w:r>
    </w:p>
    <w:p w:rsidR="00CA0FE7" w:rsidRDefault="00CA0FE7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:rsidR="00D40880" w:rsidRPr="003D7E1A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3D7E1A">
        <w:rPr>
          <w:rFonts w:ascii="Times New Roman" w:hAnsi="Times New Roman"/>
          <w:b/>
          <w:lang w:val="hr-HR" w:eastAsia="hr-HR"/>
        </w:rPr>
        <w:t>I.</w:t>
      </w: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:rsidR="00D40880" w:rsidRPr="000829D0" w:rsidRDefault="00D40880" w:rsidP="00D40880">
      <w:pPr>
        <w:pStyle w:val="Tijeloteksta"/>
        <w:rPr>
          <w:rFonts w:ascii="Times New Roman" w:hAnsi="Times New Roman"/>
          <w:lang w:val="sv-SE"/>
        </w:rPr>
      </w:pPr>
      <w:r w:rsidRPr="00137AFE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 w:rsidR="003D7E1A">
        <w:rPr>
          <w:rFonts w:ascii="Times New Roman" w:hAnsi="Times New Roman"/>
          <w:bCs/>
          <w:lang w:val="hr-HR"/>
        </w:rPr>
        <w:t xml:space="preserve">građenja </w:t>
      </w:r>
      <w:r w:rsidRPr="00137AFE">
        <w:rPr>
          <w:rFonts w:ascii="Times New Roman" w:hAnsi="Times New Roman"/>
          <w:bCs/>
          <w:lang w:val="hr-HR"/>
        </w:rPr>
        <w:t xml:space="preserve">komunalne infrastrukture </w:t>
      </w:r>
      <w:r w:rsidR="003D7E1A">
        <w:rPr>
          <w:rFonts w:ascii="Times New Roman" w:hAnsi="Times New Roman"/>
          <w:bCs/>
          <w:lang w:val="hr-HR"/>
        </w:rPr>
        <w:t xml:space="preserve">na području Općine Vladislavci u 2019. godini, </w:t>
      </w:r>
      <w:r w:rsidRPr="000829D0">
        <w:rPr>
          <w:rFonts w:ascii="Times New Roman" w:hAnsi="Times New Roman"/>
        </w:rPr>
        <w:t xml:space="preserve">Klasa: </w:t>
      </w:r>
      <w:r w:rsidR="003D7E1A">
        <w:rPr>
          <w:rFonts w:ascii="Times New Roman" w:hAnsi="Times New Roman"/>
        </w:rPr>
        <w:t xml:space="preserve">363-02/18-18/4, 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v-SE"/>
        </w:rPr>
        <w:t>Urbroj: 2158/07-02</w:t>
      </w:r>
      <w:r w:rsidRPr="000829D0">
        <w:rPr>
          <w:rFonts w:ascii="Times New Roman" w:hAnsi="Times New Roman"/>
          <w:lang w:val="sv-SE"/>
        </w:rPr>
        <w:t>-</w:t>
      </w:r>
      <w:r w:rsidR="003D7E1A">
        <w:rPr>
          <w:rFonts w:ascii="Times New Roman" w:hAnsi="Times New Roman"/>
          <w:lang w:val="sv-SE"/>
        </w:rPr>
        <w:t>20</w:t>
      </w:r>
      <w:r w:rsidRPr="000829D0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9 od 2</w:t>
      </w:r>
      <w:r w:rsidR="003D7E1A">
        <w:rPr>
          <w:rFonts w:ascii="Times New Roman" w:hAnsi="Times New Roman"/>
          <w:lang w:val="sv-SE"/>
        </w:rPr>
        <w:t>5</w:t>
      </w:r>
      <w:r>
        <w:rPr>
          <w:rFonts w:ascii="Times New Roman" w:hAnsi="Times New Roman"/>
          <w:lang w:val="sv-SE"/>
        </w:rPr>
        <w:t>. svibnja 20</w:t>
      </w:r>
      <w:r w:rsidR="003D7E1A">
        <w:rPr>
          <w:rFonts w:ascii="Times New Roman" w:hAnsi="Times New Roman"/>
          <w:lang w:val="sv-SE"/>
        </w:rPr>
        <w:t>20</w:t>
      </w:r>
      <w:r>
        <w:rPr>
          <w:rFonts w:ascii="Times New Roman" w:hAnsi="Times New Roman"/>
          <w:lang w:val="sv-SE"/>
        </w:rPr>
        <w:t>. godine.</w:t>
      </w:r>
    </w:p>
    <w:p w:rsidR="00D40880" w:rsidRPr="00137AFE" w:rsidRDefault="00D40880" w:rsidP="00D40880">
      <w:pPr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II.</w:t>
      </w:r>
    </w:p>
    <w:p w:rsidR="00D40880" w:rsidRPr="00137AFE" w:rsidRDefault="00D40880" w:rsidP="00D40880">
      <w:pPr>
        <w:jc w:val="center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izgradnje </w:t>
      </w:r>
      <w:r w:rsidRPr="00137AFE">
        <w:rPr>
          <w:rFonts w:ascii="Times New Roman" w:hAnsi="Times New Roman"/>
          <w:bCs/>
          <w:lang w:val="hr-HR"/>
        </w:rPr>
        <w:t xml:space="preserve"> objekata i uređaja komunalne infrastrukture za  201</w:t>
      </w:r>
      <w:r w:rsidR="00CA0FE7">
        <w:rPr>
          <w:rFonts w:ascii="Times New Roman" w:hAnsi="Times New Roman"/>
          <w:bCs/>
          <w:lang w:val="hr-HR"/>
        </w:rPr>
        <w:t>9</w:t>
      </w:r>
      <w:r w:rsidRPr="00137AFE">
        <w:rPr>
          <w:rFonts w:ascii="Times New Roman" w:hAnsi="Times New Roman"/>
          <w:bCs/>
          <w:lang w:val="hr-HR"/>
        </w:rPr>
        <w:t>. godinu na području Općine Vladislavci</w:t>
      </w:r>
      <w:r w:rsidRPr="00137AFE">
        <w:rPr>
          <w:rFonts w:ascii="Times New Roman" w:hAnsi="Times New Roman"/>
          <w:lang w:val="hr-HR" w:eastAsia="hr-HR"/>
        </w:rPr>
        <w:t xml:space="preserve"> sastavni je dio ovog Zaključka.</w:t>
      </w:r>
    </w:p>
    <w:p w:rsidR="00D40880" w:rsidRPr="00137AFE" w:rsidRDefault="00D40880" w:rsidP="00D40880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III.</w:t>
      </w:r>
    </w:p>
    <w:p w:rsidR="00D40880" w:rsidRPr="00137AFE" w:rsidRDefault="00D40880" w:rsidP="00D40880">
      <w:pPr>
        <w:jc w:val="center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3D7E1A" w:rsidRPr="003D7E1A" w:rsidRDefault="003D7E1A" w:rsidP="003D7E1A">
      <w:pPr>
        <w:jc w:val="both"/>
        <w:rPr>
          <w:rFonts w:ascii="Times New Roman" w:hAnsi="Times New Roman"/>
          <w:lang w:val="hr-HR"/>
        </w:rPr>
      </w:pPr>
      <w:r w:rsidRPr="003D7E1A">
        <w:rPr>
          <w:rFonts w:ascii="Times New Roman" w:hAnsi="Times New Roman"/>
          <w:lang w:val="x-none"/>
        </w:rPr>
        <w:t xml:space="preserve">Klasa: </w:t>
      </w:r>
      <w:r w:rsidRPr="003D7E1A">
        <w:rPr>
          <w:rFonts w:ascii="Times New Roman" w:hAnsi="Times New Roman"/>
          <w:lang w:val="hr-HR"/>
        </w:rPr>
        <w:t>363-02/18-18/4</w:t>
      </w:r>
    </w:p>
    <w:p w:rsidR="003D7E1A" w:rsidRPr="003D7E1A" w:rsidRDefault="003D7E1A" w:rsidP="003D7E1A">
      <w:pPr>
        <w:jc w:val="both"/>
        <w:rPr>
          <w:rFonts w:ascii="Times New Roman" w:hAnsi="Times New Roman"/>
          <w:lang w:val="sv-SE"/>
        </w:rPr>
      </w:pPr>
      <w:r w:rsidRPr="003D7E1A">
        <w:rPr>
          <w:rFonts w:ascii="Times New Roman" w:hAnsi="Times New Roman"/>
          <w:lang w:val="sv-SE"/>
        </w:rPr>
        <w:t>Urbroj: 2158/07-01-</w:t>
      </w:r>
      <w:r>
        <w:rPr>
          <w:rFonts w:ascii="Times New Roman" w:hAnsi="Times New Roman"/>
          <w:lang w:val="sv-SE"/>
        </w:rPr>
        <w:t>20</w:t>
      </w:r>
      <w:r w:rsidRPr="003D7E1A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10</w:t>
      </w:r>
    </w:p>
    <w:p w:rsidR="00D40880" w:rsidRPr="000829D0" w:rsidRDefault="00D40880" w:rsidP="00D40880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6E6431">
        <w:rPr>
          <w:rFonts w:ascii="Times New Roman" w:hAnsi="Times New Roman"/>
          <w:lang w:val="sv-SE"/>
        </w:rPr>
        <w:t>8.</w:t>
      </w:r>
      <w:bookmarkStart w:id="0" w:name="_GoBack"/>
      <w:bookmarkEnd w:id="0"/>
      <w:r w:rsidR="00394AC2">
        <w:rPr>
          <w:rFonts w:ascii="Times New Roman" w:hAnsi="Times New Roman"/>
          <w:lang w:val="sv-SE"/>
        </w:rPr>
        <w:t xml:space="preserve"> lipnja</w:t>
      </w:r>
      <w:r>
        <w:rPr>
          <w:rFonts w:ascii="Times New Roman" w:hAnsi="Times New Roman"/>
          <w:lang w:val="sv-SE"/>
        </w:rPr>
        <w:t xml:space="preserve"> </w:t>
      </w:r>
      <w:r w:rsidRPr="000829D0">
        <w:rPr>
          <w:rFonts w:ascii="Times New Roman" w:hAnsi="Times New Roman"/>
          <w:lang w:val="sv-SE"/>
        </w:rPr>
        <w:t>20</w:t>
      </w:r>
      <w:r w:rsidR="00CA31AC">
        <w:rPr>
          <w:rFonts w:ascii="Times New Roman" w:hAnsi="Times New Roman"/>
          <w:lang w:val="sv-SE"/>
        </w:rPr>
        <w:t>20</w:t>
      </w:r>
      <w:r w:rsidRPr="000829D0">
        <w:rPr>
          <w:rFonts w:ascii="Times New Roman" w:hAnsi="Times New Roman"/>
          <w:lang w:val="sv-SE"/>
        </w:rPr>
        <w:t>.</w:t>
      </w: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Predsjednik</w:t>
      </w:r>
    </w:p>
    <w:p w:rsidR="00D40880" w:rsidRPr="00137AFE" w:rsidRDefault="00D40880" w:rsidP="00D40880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Općinskog Vijeća</w:t>
      </w:r>
    </w:p>
    <w:p w:rsidR="00D40880" w:rsidRPr="00137AFE" w:rsidRDefault="00D40880" w:rsidP="00D40880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Krunoslav Morović </w:t>
      </w: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901A07" w:rsidRDefault="00901A07">
      <w:pPr>
        <w:pStyle w:val="Tijeloteksta"/>
        <w:rPr>
          <w:rFonts w:ascii="Times New Roman" w:hAnsi="Times New Roman"/>
          <w:lang w:val="hr-HR"/>
        </w:rPr>
      </w:pPr>
    </w:p>
    <w:p w:rsidR="00901A07" w:rsidRDefault="00901A07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350A82" w:rsidRPr="00CA4449" w:rsidRDefault="007147C5">
      <w:pPr>
        <w:pStyle w:val="Tijeloteksta"/>
        <w:rPr>
          <w:rFonts w:ascii="Times New Roman" w:hAnsi="Times New Roman"/>
          <w:lang w:val="hr-HR"/>
        </w:rPr>
      </w:pPr>
      <w:r w:rsidRPr="00CA4449">
        <w:rPr>
          <w:rFonts w:ascii="Times New Roman" w:hAnsi="Times New Roman"/>
          <w:lang w:val="hr-HR"/>
        </w:rPr>
        <w:t xml:space="preserve">Temeljem članka </w:t>
      </w:r>
      <w:r w:rsidR="00CA4449" w:rsidRPr="00CA4449">
        <w:rPr>
          <w:rFonts w:ascii="Times New Roman" w:hAnsi="Times New Roman"/>
          <w:lang w:val="hr-HR"/>
        </w:rPr>
        <w:t>71</w:t>
      </w:r>
      <w:r w:rsidR="004B305D" w:rsidRPr="00CA4449">
        <w:rPr>
          <w:rFonts w:ascii="Times New Roman" w:hAnsi="Times New Roman"/>
          <w:lang w:val="hr-HR"/>
        </w:rPr>
        <w:t>.</w:t>
      </w:r>
      <w:r w:rsidRPr="00CA4449">
        <w:rPr>
          <w:rFonts w:ascii="Times New Roman" w:hAnsi="Times New Roman"/>
          <w:lang w:val="hr-HR"/>
        </w:rPr>
        <w:t xml:space="preserve"> </w:t>
      </w:r>
      <w:r w:rsidR="000829D0" w:rsidRPr="00CA4449">
        <w:rPr>
          <w:rFonts w:ascii="Times New Roman" w:hAnsi="Times New Roman"/>
          <w:lang w:val="hr-HR"/>
        </w:rPr>
        <w:t>Z</w:t>
      </w:r>
      <w:r w:rsidRPr="00CA4449">
        <w:rPr>
          <w:rFonts w:ascii="Times New Roman" w:hAnsi="Times New Roman"/>
          <w:lang w:val="hr-HR"/>
        </w:rPr>
        <w:t xml:space="preserve">akona o komunalnom gospodarstvu („Narodne novine broj: </w:t>
      </w:r>
      <w:r w:rsidR="00856CB5" w:rsidRPr="00CA4449">
        <w:rPr>
          <w:rFonts w:ascii="Times New Roman" w:hAnsi="Times New Roman"/>
          <w:lang w:val="hr-HR"/>
        </w:rPr>
        <w:t>68/18</w:t>
      </w:r>
      <w:r w:rsidR="00D477E2">
        <w:rPr>
          <w:rFonts w:ascii="Times New Roman" w:hAnsi="Times New Roman"/>
          <w:lang w:val="hr-HR"/>
        </w:rPr>
        <w:t xml:space="preserve">, </w:t>
      </w:r>
      <w:r w:rsidR="00CA4449" w:rsidRPr="00CA4449">
        <w:rPr>
          <w:rFonts w:ascii="Times New Roman" w:hAnsi="Times New Roman"/>
          <w:lang w:val="hr-HR"/>
        </w:rPr>
        <w:t xml:space="preserve"> 110/18</w:t>
      </w:r>
      <w:r w:rsidR="00D477E2">
        <w:rPr>
          <w:rFonts w:ascii="Times New Roman" w:hAnsi="Times New Roman"/>
          <w:lang w:val="hr-HR"/>
        </w:rPr>
        <w:t xml:space="preserve"> i 32/20</w:t>
      </w:r>
      <w:r w:rsidR="00856CB5" w:rsidRPr="00CA4449">
        <w:rPr>
          <w:rFonts w:ascii="Times New Roman" w:hAnsi="Times New Roman"/>
          <w:lang w:val="hr-HR"/>
        </w:rPr>
        <w:t xml:space="preserve">) i </w:t>
      </w:r>
      <w:r w:rsidRPr="00CA4449">
        <w:rPr>
          <w:rFonts w:ascii="Times New Roman" w:hAnsi="Times New Roman"/>
          <w:lang w:val="hr-HR"/>
        </w:rPr>
        <w:t xml:space="preserve"> članka 3</w:t>
      </w:r>
      <w:r w:rsidR="00CA4449" w:rsidRPr="00CA4449">
        <w:rPr>
          <w:rFonts w:ascii="Times New Roman" w:hAnsi="Times New Roman"/>
          <w:lang w:val="hr-HR"/>
        </w:rPr>
        <w:t>6</w:t>
      </w:r>
      <w:r w:rsidRPr="00CA4449">
        <w:rPr>
          <w:rFonts w:ascii="Times New Roman" w:hAnsi="Times New Roman"/>
          <w:lang w:val="hr-HR"/>
        </w:rPr>
        <w:t xml:space="preserve">. </w:t>
      </w:r>
      <w:r w:rsidR="000829D0" w:rsidRPr="00CA4449">
        <w:rPr>
          <w:rFonts w:ascii="Times New Roman" w:hAnsi="Times New Roman"/>
          <w:lang w:val="hr-HR"/>
        </w:rPr>
        <w:t>S</w:t>
      </w:r>
      <w:r w:rsidRPr="00CA4449">
        <w:rPr>
          <w:rFonts w:ascii="Times New Roman" w:hAnsi="Times New Roman"/>
          <w:lang w:val="hr-HR"/>
        </w:rPr>
        <w:t>tatuta Općine Vladislavci („Službeni glasnik Općine Vladislavci broj 3/13</w:t>
      </w:r>
      <w:r w:rsidR="00F95141" w:rsidRPr="00CA4449">
        <w:rPr>
          <w:rFonts w:ascii="Times New Roman" w:hAnsi="Times New Roman"/>
          <w:lang w:val="hr-HR"/>
        </w:rPr>
        <w:t xml:space="preserve">, </w:t>
      </w:r>
      <w:r w:rsidRPr="00CA4449">
        <w:rPr>
          <w:rFonts w:ascii="Times New Roman" w:hAnsi="Times New Roman"/>
          <w:lang w:val="hr-HR"/>
        </w:rPr>
        <w:t>3/17</w:t>
      </w:r>
      <w:r w:rsidR="00D477E2">
        <w:rPr>
          <w:rFonts w:ascii="Times New Roman" w:hAnsi="Times New Roman"/>
          <w:lang w:val="hr-HR"/>
        </w:rPr>
        <w:t xml:space="preserve">, </w:t>
      </w:r>
      <w:r w:rsidR="00F95141" w:rsidRPr="00CA4449">
        <w:rPr>
          <w:rFonts w:ascii="Times New Roman" w:hAnsi="Times New Roman"/>
          <w:lang w:val="hr-HR"/>
        </w:rPr>
        <w:t xml:space="preserve"> 2/18</w:t>
      </w:r>
      <w:r w:rsidR="00D477E2">
        <w:rPr>
          <w:rFonts w:ascii="Times New Roman" w:hAnsi="Times New Roman"/>
          <w:lang w:val="hr-HR"/>
        </w:rPr>
        <w:t xml:space="preserve"> i 4/20</w:t>
      </w:r>
      <w:r w:rsidRPr="00CA4449">
        <w:rPr>
          <w:rFonts w:ascii="Times New Roman" w:hAnsi="Times New Roman"/>
          <w:lang w:val="hr-HR"/>
        </w:rPr>
        <w:t xml:space="preserve">) </w:t>
      </w:r>
      <w:r w:rsidR="00CA4449" w:rsidRPr="00CA4449">
        <w:rPr>
          <w:rFonts w:ascii="Times New Roman" w:hAnsi="Times New Roman"/>
          <w:lang w:val="hr-HR"/>
        </w:rPr>
        <w:t xml:space="preserve">Općinski načelnik Općine Vladislavci, dana 20. svibnja 2019. godine, </w:t>
      </w:r>
      <w:r w:rsidRPr="00CA4449">
        <w:rPr>
          <w:rFonts w:ascii="Times New Roman" w:hAnsi="Times New Roman"/>
          <w:lang w:val="hr-HR"/>
        </w:rPr>
        <w:t>donosi</w:t>
      </w:r>
    </w:p>
    <w:p w:rsidR="007147C5" w:rsidRPr="00CA4449" w:rsidRDefault="007147C5">
      <w:pPr>
        <w:pStyle w:val="Tijeloteksta"/>
        <w:rPr>
          <w:rFonts w:ascii="Times New Roman" w:hAnsi="Times New Roman"/>
          <w:lang w:val="hr-HR"/>
        </w:rPr>
      </w:pPr>
    </w:p>
    <w:p w:rsidR="00350A82" w:rsidRPr="00CA4449" w:rsidRDefault="00CA4449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IZVJEŠĆE </w:t>
      </w:r>
    </w:p>
    <w:p w:rsidR="00350A82" w:rsidRPr="00CA4449" w:rsidRDefault="00AD533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CA4449">
        <w:rPr>
          <w:rFonts w:ascii="Times New Roman" w:hAnsi="Times New Roman"/>
          <w:b/>
          <w:bCs/>
          <w:lang w:val="hr-HR"/>
        </w:rPr>
        <w:t xml:space="preserve"> izvršenju </w:t>
      </w:r>
      <w:r w:rsidR="00F95141" w:rsidRPr="00CA4449">
        <w:rPr>
          <w:rFonts w:ascii="Times New Roman" w:hAnsi="Times New Roman"/>
          <w:b/>
          <w:bCs/>
          <w:lang w:val="hr-HR"/>
        </w:rPr>
        <w:t xml:space="preserve"> Programa </w:t>
      </w:r>
      <w:r w:rsidR="004B305D" w:rsidRPr="00CA4449">
        <w:rPr>
          <w:rFonts w:ascii="Times New Roman" w:hAnsi="Times New Roman"/>
          <w:b/>
          <w:bCs/>
          <w:lang w:val="hr-HR"/>
        </w:rPr>
        <w:t>izgradnje</w:t>
      </w:r>
      <w:r w:rsidR="007147C5" w:rsidRPr="00CA4449">
        <w:rPr>
          <w:rFonts w:ascii="Times New Roman" w:hAnsi="Times New Roman"/>
          <w:b/>
          <w:bCs/>
          <w:lang w:val="hr-HR"/>
        </w:rPr>
        <w:t xml:space="preserve"> objekata i uređaja komunalne infrastrukture za</w:t>
      </w:r>
      <w:r w:rsidR="00F95141" w:rsidRPr="00CA4449">
        <w:rPr>
          <w:rFonts w:ascii="Times New Roman" w:hAnsi="Times New Roman"/>
          <w:b/>
          <w:bCs/>
          <w:lang w:val="hr-HR"/>
        </w:rPr>
        <w:t xml:space="preserve"> </w:t>
      </w:r>
      <w:r w:rsidR="007147C5" w:rsidRPr="00CA4449">
        <w:rPr>
          <w:rFonts w:ascii="Times New Roman" w:hAnsi="Times New Roman"/>
          <w:b/>
          <w:bCs/>
          <w:lang w:val="hr-HR"/>
        </w:rPr>
        <w:t xml:space="preserve"> 201</w:t>
      </w:r>
      <w:r w:rsidR="00EB0E8D">
        <w:rPr>
          <w:rFonts w:ascii="Times New Roman" w:hAnsi="Times New Roman"/>
          <w:b/>
          <w:bCs/>
          <w:lang w:val="hr-HR"/>
        </w:rPr>
        <w:t>9</w:t>
      </w:r>
      <w:r w:rsidR="007147C5" w:rsidRPr="00CA4449">
        <w:rPr>
          <w:rFonts w:ascii="Times New Roman" w:hAnsi="Times New Roman"/>
          <w:b/>
          <w:bCs/>
          <w:lang w:val="hr-HR"/>
        </w:rPr>
        <w:t>. godinu na području Općine Vladislavci</w:t>
      </w:r>
    </w:p>
    <w:p w:rsidR="007147C5" w:rsidRPr="00CA4449" w:rsidRDefault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350A82" w:rsidRPr="00CA4449" w:rsidRDefault="00CA4449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:rsidR="00D477E2" w:rsidRDefault="00CA4449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</w:t>
      </w:r>
      <w:r w:rsidR="00D477E2" w:rsidRPr="003D7E1A">
        <w:rPr>
          <w:rFonts w:ascii="Times New Roman" w:hAnsi="Times New Roman"/>
          <w:lang w:val="hr-HR" w:eastAsia="hr-HR"/>
        </w:rPr>
        <w:t>Program građenja komunalne infrastrukture na području Općine Vladislavci u 2019. godini („Službeni glasnik“ Općine Vladislavci br. 11/18, 5/19 i 8/19</w:t>
      </w:r>
      <w:r w:rsidR="00D477E2">
        <w:rPr>
          <w:rFonts w:ascii="Times New Roman" w:hAnsi="Times New Roman"/>
          <w:lang w:val="hr-HR" w:eastAsia="hr-HR"/>
        </w:rPr>
        <w:t xml:space="preserve"> i 9/19). </w:t>
      </w:r>
    </w:p>
    <w:p w:rsidR="00CA4449" w:rsidRDefault="00CA444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</w:t>
      </w:r>
      <w:r w:rsidR="00D477E2" w:rsidRPr="003D7E1A">
        <w:rPr>
          <w:rFonts w:ascii="Times New Roman" w:hAnsi="Times New Roman"/>
          <w:lang w:val="hr-HR" w:eastAsia="hr-HR"/>
        </w:rPr>
        <w:t>građenja komunalne infrastrukture na području Općine Vladislavci u 2019. godini</w:t>
      </w:r>
      <w:r w:rsidR="00D477E2">
        <w:rPr>
          <w:rFonts w:ascii="Times New Roman" w:hAnsi="Times New Roman"/>
          <w:lang w:val="hr-HR"/>
        </w:rPr>
        <w:t xml:space="preserve"> </w:t>
      </w:r>
      <w:r w:rsidR="006F23FD">
        <w:rPr>
          <w:rFonts w:ascii="Times New Roman" w:hAnsi="Times New Roman"/>
          <w:lang w:val="hr-HR"/>
        </w:rPr>
        <w:t xml:space="preserve">bila je planirana izgradnja slijedećih objekata i uređaja komunalne infrastrukture: </w:t>
      </w:r>
    </w:p>
    <w:p w:rsidR="00D477E2" w:rsidRPr="00D477E2" w:rsidRDefault="00D477E2" w:rsidP="00D477E2">
      <w:pPr>
        <w:pStyle w:val="Tijeloteksta"/>
        <w:numPr>
          <w:ilvl w:val="0"/>
          <w:numId w:val="33"/>
        </w:numPr>
        <w:rPr>
          <w:rFonts w:ascii="Times New Roman" w:hAnsi="Times New Roman"/>
          <w:lang w:val="hr-HR"/>
        </w:rPr>
      </w:pPr>
      <w:r w:rsidRPr="00D477E2">
        <w:rPr>
          <w:rFonts w:ascii="Times New Roman" w:hAnsi="Times New Roman"/>
          <w:color w:val="231F20"/>
          <w:lang w:val="hr-HR"/>
        </w:rPr>
        <w:t>građevine komunalne infrastrukture koje će se graditi u uređenim dijelovima građevinskog područja naselja na području Općine Vladislavci:</w:t>
      </w:r>
    </w:p>
    <w:p w:rsidR="003D7E1A" w:rsidRPr="003D7E1A" w:rsidRDefault="003D7E1A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</w:p>
    <w:tbl>
      <w:tblPr>
        <w:tblW w:w="96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672"/>
        <w:gridCol w:w="1701"/>
        <w:gridCol w:w="1459"/>
      </w:tblGrid>
      <w:tr w:rsidR="00D477E2" w:rsidRPr="003D7E1A" w:rsidTr="00D477E2">
        <w:tc>
          <w:tcPr>
            <w:tcW w:w="843" w:type="dxa"/>
            <w:shd w:val="clear" w:color="auto" w:fill="D9D9D9"/>
          </w:tcPr>
          <w:p w:rsidR="00D477E2" w:rsidRPr="003D7E1A" w:rsidRDefault="00D477E2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72" w:type="dxa"/>
            <w:shd w:val="clear" w:color="auto" w:fill="D9D9D9"/>
          </w:tcPr>
          <w:p w:rsidR="00D477E2" w:rsidRPr="003D7E1A" w:rsidRDefault="00D477E2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:rsidR="00D477E2" w:rsidRPr="003D7E1A" w:rsidRDefault="00D477E2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D477E2" w:rsidRPr="003D7E1A" w:rsidRDefault="00D477E2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459" w:type="dxa"/>
            <w:shd w:val="clear" w:color="auto" w:fill="D9D9D9"/>
          </w:tcPr>
          <w:p w:rsidR="00D477E2" w:rsidRDefault="00D477E2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:rsidR="00D477E2" w:rsidRPr="003D7E1A" w:rsidRDefault="00D477E2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u kunama </w:t>
            </w:r>
          </w:p>
          <w:p w:rsidR="00D477E2" w:rsidRPr="003D7E1A" w:rsidRDefault="00D477E2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477E2" w:rsidRPr="003D7E1A" w:rsidTr="00D477E2"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1.</w:t>
            </w: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Izrada projektne dokumentacije za izgradnju i modernizaciju  energetski učinkovite javne rasvjete na području Općine  Vladislavci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459" w:type="dxa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20.000,00</w:t>
            </w:r>
          </w:p>
        </w:tc>
      </w:tr>
      <w:tr w:rsidR="00D477E2" w:rsidRPr="003D7E1A" w:rsidTr="00D477E2">
        <w:tc>
          <w:tcPr>
            <w:tcW w:w="843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3D7E1A" w:rsidTr="00D477E2"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</w:tr>
      <w:tr w:rsidR="00D477E2" w:rsidRPr="003D7E1A" w:rsidTr="00D477E2">
        <w:tc>
          <w:tcPr>
            <w:tcW w:w="843" w:type="dxa"/>
            <w:shd w:val="clear" w:color="auto" w:fill="F2F2F2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  <w:shd w:val="clear" w:color="auto" w:fill="F2F2F2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3D7E1A" w:rsidTr="00D477E2"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 xml:space="preserve">2. </w:t>
            </w: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 kuće oproštaja u Dopsinu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459" w:type="dxa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600.000,00</w:t>
            </w:r>
          </w:p>
        </w:tc>
      </w:tr>
      <w:tr w:rsidR="00D477E2" w:rsidRPr="003D7E1A" w:rsidTr="00D477E2">
        <w:tc>
          <w:tcPr>
            <w:tcW w:w="843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3D7E1A" w:rsidTr="00D477E2"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županije, 2018.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</w:tr>
      <w:tr w:rsidR="00D477E2" w:rsidRPr="003D7E1A" w:rsidTr="00CA0FE7">
        <w:trPr>
          <w:trHeight w:val="322"/>
        </w:trPr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477E2" w:rsidRPr="003D7E1A" w:rsidRDefault="00D477E2" w:rsidP="00CA0FE7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180.000,00</w:t>
            </w:r>
          </w:p>
        </w:tc>
      </w:tr>
      <w:tr w:rsidR="00D477E2" w:rsidRPr="003D7E1A" w:rsidTr="00D477E2">
        <w:tc>
          <w:tcPr>
            <w:tcW w:w="843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naknada za legalizaciju</w:t>
            </w:r>
          </w:p>
        </w:tc>
        <w:tc>
          <w:tcPr>
            <w:tcW w:w="1701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D477E2" w:rsidRPr="003D7E1A" w:rsidTr="00D477E2">
        <w:tc>
          <w:tcPr>
            <w:tcW w:w="843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komunalni doprinos </w:t>
            </w:r>
          </w:p>
        </w:tc>
        <w:tc>
          <w:tcPr>
            <w:tcW w:w="1701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D477E2" w:rsidRPr="003D7E1A" w:rsidTr="00D477E2">
        <w:tc>
          <w:tcPr>
            <w:tcW w:w="843" w:type="dxa"/>
            <w:shd w:val="clear" w:color="auto" w:fill="F2F2F2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  <w:shd w:val="clear" w:color="auto" w:fill="F2F2F2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3D7E1A" w:rsidTr="00D477E2"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 xml:space="preserve">3. </w:t>
            </w: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459" w:type="dxa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8.000,00</w:t>
            </w:r>
          </w:p>
        </w:tc>
      </w:tr>
      <w:tr w:rsidR="00D477E2" w:rsidRPr="003D7E1A" w:rsidTr="00D477E2">
        <w:tc>
          <w:tcPr>
            <w:tcW w:w="843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3D7E1A" w:rsidTr="00D477E2"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8.000,00</w:t>
            </w:r>
          </w:p>
        </w:tc>
      </w:tr>
      <w:tr w:rsidR="00D477E2" w:rsidRPr="003D7E1A" w:rsidTr="00D477E2"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 xml:space="preserve">4. </w:t>
            </w: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i opremanje dječjeg igrališta u Vladislavcima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Javne zelene površine </w:t>
            </w:r>
          </w:p>
        </w:tc>
        <w:tc>
          <w:tcPr>
            <w:tcW w:w="1459" w:type="dxa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130.000,00</w:t>
            </w:r>
          </w:p>
        </w:tc>
      </w:tr>
      <w:tr w:rsidR="00D477E2" w:rsidRPr="003D7E1A" w:rsidTr="00D477E2"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3D7E1A" w:rsidTr="00D477E2"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Sredstva iz EU fondova 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120.000,00</w:t>
            </w:r>
          </w:p>
        </w:tc>
      </w:tr>
      <w:tr w:rsidR="00D477E2" w:rsidRPr="003D7E1A" w:rsidTr="00D477E2"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D477E2" w:rsidRPr="003D7E1A" w:rsidTr="00D477E2">
        <w:tc>
          <w:tcPr>
            <w:tcW w:w="843" w:type="dxa"/>
            <w:shd w:val="clear" w:color="auto" w:fill="F2F2F2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  <w:shd w:val="clear" w:color="auto" w:fill="F2F2F2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3D7E1A" w:rsidTr="00D477E2"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5.</w:t>
            </w: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Izrada ograde oko nogometnog igrališta NK Goleo Dopsin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Javne zelene površine </w:t>
            </w:r>
          </w:p>
        </w:tc>
        <w:tc>
          <w:tcPr>
            <w:tcW w:w="1459" w:type="dxa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113.063,00</w:t>
            </w:r>
          </w:p>
        </w:tc>
      </w:tr>
      <w:tr w:rsidR="00D477E2" w:rsidRPr="003D7E1A" w:rsidTr="00D477E2"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3D7E1A" w:rsidTr="00D477E2">
        <w:tc>
          <w:tcPr>
            <w:tcW w:w="843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Vladislavci-komunalna naknada  </w:t>
            </w:r>
          </w:p>
        </w:tc>
        <w:tc>
          <w:tcPr>
            <w:tcW w:w="1701" w:type="dxa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113.063,00</w:t>
            </w:r>
          </w:p>
        </w:tc>
      </w:tr>
      <w:tr w:rsidR="00D477E2" w:rsidRPr="003D7E1A" w:rsidTr="00D477E2">
        <w:tc>
          <w:tcPr>
            <w:tcW w:w="843" w:type="dxa"/>
            <w:shd w:val="clear" w:color="auto" w:fill="D9D9D9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  <w:shd w:val="clear" w:color="auto" w:fill="D9D9D9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D9D9D9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3D7E1A" w:rsidTr="00D477E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 xml:space="preserve">6.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javne rasvjete na ulasku u naselje Vladislavci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306.631,25</w:t>
            </w:r>
          </w:p>
        </w:tc>
      </w:tr>
      <w:tr w:rsidR="00D477E2" w:rsidRPr="003D7E1A" w:rsidTr="00D477E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3D7E1A" w:rsidTr="00D477E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220.000,00</w:t>
            </w:r>
          </w:p>
        </w:tc>
      </w:tr>
      <w:tr w:rsidR="00D477E2" w:rsidRPr="003D7E1A" w:rsidTr="00D477E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86.631,25</w:t>
            </w:r>
          </w:p>
        </w:tc>
      </w:tr>
      <w:tr w:rsidR="00D477E2" w:rsidRPr="003D7E1A" w:rsidTr="00D477E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3D7E1A" w:rsidTr="00D477E2">
        <w:tc>
          <w:tcPr>
            <w:tcW w:w="843" w:type="dxa"/>
            <w:shd w:val="clear" w:color="auto" w:fill="F2F2F2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672" w:type="dxa"/>
            <w:shd w:val="clear" w:color="auto" w:fill="F2F2F2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Ukupno izgradnja </w:t>
            </w:r>
            <w:r w:rsidRPr="003D7E1A">
              <w:rPr>
                <w:rFonts w:ascii="Times New Roman" w:hAnsi="Times New Roman"/>
                <w:b/>
                <w:color w:val="231F20"/>
                <w:sz w:val="22"/>
                <w:szCs w:val="22"/>
                <w:lang w:val="x-none"/>
              </w:rPr>
              <w:t>građevin</w:t>
            </w:r>
            <w:r w:rsidRPr="003D7E1A">
              <w:rPr>
                <w:rFonts w:ascii="Times New Roman" w:hAnsi="Times New Roman"/>
                <w:b/>
                <w:color w:val="231F20"/>
                <w:sz w:val="22"/>
                <w:szCs w:val="22"/>
                <w:lang w:val="hr-HR"/>
              </w:rPr>
              <w:t>a</w:t>
            </w:r>
            <w:r w:rsidRPr="003D7E1A">
              <w:rPr>
                <w:rFonts w:ascii="Times New Roman" w:hAnsi="Times New Roman"/>
                <w:b/>
                <w:color w:val="231F20"/>
                <w:sz w:val="22"/>
                <w:szCs w:val="22"/>
                <w:lang w:val="x-none"/>
              </w:rPr>
              <w:t xml:space="preserve"> komunalne infrastrukture</w:t>
            </w:r>
          </w:p>
        </w:tc>
        <w:tc>
          <w:tcPr>
            <w:tcW w:w="1701" w:type="dxa"/>
            <w:shd w:val="clear" w:color="auto" w:fill="F2F2F2"/>
          </w:tcPr>
          <w:p w:rsidR="00D477E2" w:rsidRPr="003D7E1A" w:rsidRDefault="00D477E2" w:rsidP="003D7E1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D477E2" w:rsidRPr="003D7E1A" w:rsidRDefault="00D477E2" w:rsidP="003D7E1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1.177.694,20</w:t>
            </w:r>
          </w:p>
        </w:tc>
      </w:tr>
    </w:tbl>
    <w:p w:rsidR="00D477E2" w:rsidRDefault="00D477E2" w:rsidP="003D7E1A">
      <w:pPr>
        <w:jc w:val="both"/>
        <w:rPr>
          <w:b/>
          <w:color w:val="231F20"/>
          <w:lang w:val="hr-HR"/>
        </w:rPr>
      </w:pPr>
    </w:p>
    <w:p w:rsidR="00D477E2" w:rsidRPr="00901A07" w:rsidRDefault="00D477E2" w:rsidP="00D477E2">
      <w:pPr>
        <w:pStyle w:val="Odlomakpopisa"/>
        <w:numPr>
          <w:ilvl w:val="0"/>
          <w:numId w:val="33"/>
        </w:numPr>
        <w:jc w:val="both"/>
        <w:rPr>
          <w:rFonts w:ascii="Times New Roman" w:hAnsi="Times New Roman"/>
          <w:b/>
          <w:color w:val="231F20"/>
          <w:lang w:val="hr-HR"/>
        </w:rPr>
      </w:pPr>
      <w:r w:rsidRPr="00D477E2">
        <w:rPr>
          <w:rFonts w:ascii="Times New Roman" w:hAnsi="Times New Roman"/>
          <w:lang w:val="hr-HR"/>
        </w:rPr>
        <w:t xml:space="preserve">rekonstrukcija postojećih građevina komunalne infrastrukture u naseljima na </w:t>
      </w:r>
      <w:r w:rsidRPr="00D477E2">
        <w:rPr>
          <w:rFonts w:ascii="Times New Roman" w:hAnsi="Times New Roman"/>
          <w:color w:val="231F20"/>
          <w:lang w:val="hr-HR"/>
        </w:rPr>
        <w:t>području Općine Vladislavci :</w:t>
      </w:r>
    </w:p>
    <w:p w:rsidR="00901A07" w:rsidRPr="00D477E2" w:rsidRDefault="00901A07" w:rsidP="00901A07">
      <w:pPr>
        <w:pStyle w:val="Odlomakpopisa"/>
        <w:jc w:val="both"/>
        <w:rPr>
          <w:rFonts w:ascii="Times New Roman" w:hAnsi="Times New Roman"/>
          <w:b/>
          <w:color w:val="231F20"/>
          <w:lang w:val="hr-HR"/>
        </w:rPr>
      </w:pPr>
    </w:p>
    <w:tbl>
      <w:tblPr>
        <w:tblW w:w="9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709"/>
        <w:gridCol w:w="1696"/>
        <w:gridCol w:w="1451"/>
        <w:gridCol w:w="10"/>
      </w:tblGrid>
      <w:tr w:rsidR="00D477E2" w:rsidRPr="00D477E2" w:rsidTr="00D477E2">
        <w:trPr>
          <w:gridAfter w:val="1"/>
          <w:wAfter w:w="10" w:type="dxa"/>
        </w:trPr>
        <w:tc>
          <w:tcPr>
            <w:tcW w:w="843" w:type="dxa"/>
            <w:shd w:val="clear" w:color="auto" w:fill="D9D9D9"/>
          </w:tcPr>
          <w:p w:rsidR="00D477E2" w:rsidRPr="00D477E2" w:rsidRDefault="00D477E2" w:rsidP="00D477E2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709" w:type="dxa"/>
            <w:shd w:val="clear" w:color="auto" w:fill="D9D9D9"/>
          </w:tcPr>
          <w:p w:rsidR="00D477E2" w:rsidRPr="00D477E2" w:rsidRDefault="00D477E2" w:rsidP="00D477E2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D9D9D9"/>
          </w:tcPr>
          <w:p w:rsidR="00D477E2" w:rsidRPr="00D477E2" w:rsidRDefault="00D477E2" w:rsidP="00D477E2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D477E2" w:rsidRPr="00D477E2" w:rsidRDefault="00D477E2" w:rsidP="00D477E2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451" w:type="dxa"/>
            <w:shd w:val="clear" w:color="auto" w:fill="D9D9D9"/>
          </w:tcPr>
          <w:p w:rsidR="00D477E2" w:rsidRDefault="00D477E2" w:rsidP="00D477E2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:rsidR="00D477E2" w:rsidRPr="003D7E1A" w:rsidRDefault="00D477E2" w:rsidP="00D477E2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u kunama </w:t>
            </w:r>
          </w:p>
          <w:p w:rsidR="00D477E2" w:rsidRPr="00D477E2" w:rsidRDefault="00D477E2" w:rsidP="00D477E2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477E2" w:rsidRPr="00D477E2" w:rsidTr="00D477E2">
        <w:trPr>
          <w:gridAfter w:val="1"/>
          <w:wAfter w:w="10" w:type="dxa"/>
        </w:trPr>
        <w:tc>
          <w:tcPr>
            <w:tcW w:w="843" w:type="dxa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1.</w:t>
            </w:r>
          </w:p>
        </w:tc>
        <w:tc>
          <w:tcPr>
            <w:tcW w:w="5709" w:type="dxa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Rekonstrukcija ceste F. Kiša u Hrastinu</w:t>
            </w:r>
          </w:p>
        </w:tc>
        <w:tc>
          <w:tcPr>
            <w:tcW w:w="1696" w:type="dxa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Nerazvrstane ceste</w:t>
            </w:r>
          </w:p>
        </w:tc>
        <w:tc>
          <w:tcPr>
            <w:tcW w:w="1451" w:type="dxa"/>
          </w:tcPr>
          <w:p w:rsidR="00D477E2" w:rsidRPr="00D477E2" w:rsidRDefault="00D477E2" w:rsidP="00D477E2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118.701,00</w:t>
            </w:r>
          </w:p>
        </w:tc>
      </w:tr>
      <w:tr w:rsidR="00D477E2" w:rsidRPr="00D477E2" w:rsidTr="00D477E2">
        <w:trPr>
          <w:gridAfter w:val="1"/>
          <w:wAfter w:w="10" w:type="dxa"/>
        </w:trPr>
        <w:tc>
          <w:tcPr>
            <w:tcW w:w="843" w:type="dxa"/>
            <w:shd w:val="clear" w:color="auto" w:fill="FFFFFF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709" w:type="dxa"/>
            <w:shd w:val="clear" w:color="auto" w:fill="FFFFFF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lang w:val="hr-HR"/>
              </w:rPr>
            </w:pPr>
            <w:r w:rsidRPr="00D477E2">
              <w:rPr>
                <w:rFonts w:ascii="Times New Roman" w:hAnsi="Times New Roman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FF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shd w:val="clear" w:color="auto" w:fill="FFFFFF"/>
          </w:tcPr>
          <w:p w:rsidR="00D477E2" w:rsidRPr="00D477E2" w:rsidRDefault="00D477E2" w:rsidP="00D477E2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477E2" w:rsidRPr="00D477E2" w:rsidTr="00D477E2">
        <w:trPr>
          <w:gridAfter w:val="1"/>
          <w:wAfter w:w="10" w:type="dxa"/>
        </w:trPr>
        <w:tc>
          <w:tcPr>
            <w:tcW w:w="843" w:type="dxa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709" w:type="dxa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696" w:type="dxa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</w:tcPr>
          <w:p w:rsidR="00D477E2" w:rsidRPr="00D477E2" w:rsidRDefault="00D477E2" w:rsidP="00D477E2">
            <w:pPr>
              <w:jc w:val="right"/>
              <w:rPr>
                <w:rFonts w:ascii="Times New Roman" w:hAnsi="Times New Roman"/>
                <w:lang w:val="hr-HR"/>
              </w:rPr>
            </w:pPr>
            <w:r w:rsidRPr="00D477E2">
              <w:rPr>
                <w:rFonts w:ascii="Times New Roman" w:hAnsi="Times New Roman"/>
                <w:lang w:val="hr-HR"/>
              </w:rPr>
              <w:t>118.701,00</w:t>
            </w:r>
          </w:p>
        </w:tc>
      </w:tr>
      <w:tr w:rsidR="00D477E2" w:rsidRPr="00D477E2" w:rsidTr="00D477E2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709" w:type="dxa"/>
            <w:shd w:val="clear" w:color="auto" w:fill="F2F2F2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D477E2" w:rsidRPr="00D477E2" w:rsidRDefault="00D477E2" w:rsidP="00D477E2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D477E2" w:rsidTr="00D477E2">
        <w:trPr>
          <w:gridAfter w:val="1"/>
          <w:wAfter w:w="10" w:type="dxa"/>
        </w:trPr>
        <w:tc>
          <w:tcPr>
            <w:tcW w:w="843" w:type="dxa"/>
            <w:shd w:val="clear" w:color="auto" w:fill="FFFFFF" w:themeFill="background1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</w:t>
            </w:r>
          </w:p>
        </w:tc>
        <w:tc>
          <w:tcPr>
            <w:tcW w:w="5709" w:type="dxa"/>
            <w:shd w:val="clear" w:color="auto" w:fill="FFFFFF" w:themeFill="background1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Restauracija križeva „krajputaša“ na području Općine Vladislavci </w:t>
            </w:r>
          </w:p>
        </w:tc>
        <w:tc>
          <w:tcPr>
            <w:tcW w:w="1696" w:type="dxa"/>
            <w:shd w:val="clear" w:color="auto" w:fill="FFFFFF" w:themeFill="background1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x-none"/>
              </w:rPr>
              <w:t>javne prometne površine na kojima nije dopušten promet motornih vozila</w:t>
            </w:r>
          </w:p>
        </w:tc>
        <w:tc>
          <w:tcPr>
            <w:tcW w:w="1451" w:type="dxa"/>
            <w:shd w:val="clear" w:color="auto" w:fill="FFFFFF" w:themeFill="background1"/>
          </w:tcPr>
          <w:p w:rsidR="00D477E2" w:rsidRPr="00D477E2" w:rsidRDefault="00D477E2" w:rsidP="00D477E2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27.630,00</w:t>
            </w:r>
          </w:p>
        </w:tc>
      </w:tr>
      <w:tr w:rsidR="00D477E2" w:rsidRPr="00D477E2" w:rsidTr="00D477E2">
        <w:trPr>
          <w:gridAfter w:val="1"/>
          <w:wAfter w:w="10" w:type="dxa"/>
        </w:trPr>
        <w:tc>
          <w:tcPr>
            <w:tcW w:w="843" w:type="dxa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709" w:type="dxa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96" w:type="dxa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</w:tcPr>
          <w:p w:rsidR="00D477E2" w:rsidRPr="00D477E2" w:rsidRDefault="00D477E2" w:rsidP="00D477E2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D477E2" w:rsidTr="00D477E2">
        <w:trPr>
          <w:gridAfter w:val="1"/>
          <w:wAfter w:w="10" w:type="dxa"/>
        </w:trPr>
        <w:tc>
          <w:tcPr>
            <w:tcW w:w="843" w:type="dxa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709" w:type="dxa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696" w:type="dxa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</w:tcPr>
          <w:p w:rsidR="00D477E2" w:rsidRPr="00D477E2" w:rsidRDefault="00D477E2" w:rsidP="00D477E2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>27.630,00</w:t>
            </w:r>
          </w:p>
        </w:tc>
      </w:tr>
      <w:tr w:rsidR="00D477E2" w:rsidRPr="00D477E2" w:rsidTr="00D477E2">
        <w:trPr>
          <w:gridAfter w:val="1"/>
          <w:wAfter w:w="10" w:type="dxa"/>
        </w:trPr>
        <w:tc>
          <w:tcPr>
            <w:tcW w:w="843" w:type="dxa"/>
            <w:shd w:val="clear" w:color="auto" w:fill="D9D9D9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709" w:type="dxa"/>
            <w:shd w:val="clear" w:color="auto" w:fill="D9D9D9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D9D9D9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D9D9D9"/>
          </w:tcPr>
          <w:p w:rsidR="00D477E2" w:rsidRPr="00D477E2" w:rsidRDefault="00D477E2" w:rsidP="00D477E2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D477E2" w:rsidTr="00D477E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</w:t>
            </w:r>
            <w:r w:rsidRPr="00D477E2">
              <w:rPr>
                <w:rFonts w:ascii="Times New Roman" w:hAnsi="Times New Roman"/>
                <w:b/>
                <w:lang w:val="hr-HR"/>
              </w:rPr>
              <w:t xml:space="preserve">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Sanacija i modernizacija javne rasvjete u dijelovima naselja Vladislavci, I. Faza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D477E2" w:rsidRDefault="00D477E2" w:rsidP="00D477E2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146.312,50</w:t>
            </w:r>
          </w:p>
        </w:tc>
      </w:tr>
      <w:tr w:rsidR="00D477E2" w:rsidRPr="00D477E2" w:rsidTr="00D477E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D477E2" w:rsidRDefault="00D477E2" w:rsidP="00D477E2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477E2" w:rsidRPr="00D477E2" w:rsidTr="00D477E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E2" w:rsidRPr="00D477E2" w:rsidRDefault="00D477E2" w:rsidP="00D477E2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>146.312,50</w:t>
            </w:r>
          </w:p>
        </w:tc>
      </w:tr>
      <w:tr w:rsidR="00D477E2" w:rsidRPr="00D477E2" w:rsidTr="00D477E2">
        <w:tc>
          <w:tcPr>
            <w:tcW w:w="843" w:type="dxa"/>
            <w:shd w:val="clear" w:color="auto" w:fill="D9D9D9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709" w:type="dxa"/>
            <w:shd w:val="clear" w:color="auto" w:fill="D9D9D9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 rekonstrukcija komunalne infrastrukture</w:t>
            </w:r>
          </w:p>
        </w:tc>
        <w:tc>
          <w:tcPr>
            <w:tcW w:w="1696" w:type="dxa"/>
            <w:shd w:val="clear" w:color="auto" w:fill="D9D9D9"/>
          </w:tcPr>
          <w:p w:rsidR="00D477E2" w:rsidRPr="00D477E2" w:rsidRDefault="00D477E2" w:rsidP="00D477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shd w:val="clear" w:color="auto" w:fill="D9D9D9"/>
          </w:tcPr>
          <w:p w:rsidR="00D477E2" w:rsidRPr="00D477E2" w:rsidRDefault="00D477E2" w:rsidP="00D477E2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292.643,50</w:t>
            </w:r>
          </w:p>
        </w:tc>
      </w:tr>
    </w:tbl>
    <w:p w:rsidR="00D477E2" w:rsidRPr="00D477E2" w:rsidRDefault="00D477E2" w:rsidP="003D7E1A">
      <w:pPr>
        <w:spacing w:after="48"/>
        <w:jc w:val="both"/>
        <w:textAlignment w:val="baseline"/>
        <w:rPr>
          <w:rFonts w:ascii="Times New Roman" w:hAnsi="Times New Roman"/>
          <w:lang w:val="hr-HR" w:eastAsia="hr-HR"/>
        </w:rPr>
      </w:pPr>
    </w:p>
    <w:p w:rsidR="00D477E2" w:rsidRDefault="00CE7161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Programom nije bila predviđena gradnja </w:t>
      </w:r>
      <w:r w:rsidRPr="003D7E1A">
        <w:rPr>
          <w:rFonts w:ascii="Times New Roman" w:hAnsi="Times New Roman"/>
          <w:color w:val="231F20"/>
          <w:lang w:val="hr-HR" w:eastAsia="hr-HR"/>
        </w:rPr>
        <w:t>komunalne infrastrukture koje će se graditi radi uređenja neuređenih dijelova građevinskog područja</w:t>
      </w:r>
      <w:r w:rsidR="00861A6B">
        <w:rPr>
          <w:rFonts w:ascii="Times New Roman" w:hAnsi="Times New Roman"/>
          <w:color w:val="231F20"/>
          <w:lang w:val="hr-HR" w:eastAsia="hr-HR"/>
        </w:rPr>
        <w:t xml:space="preserve">, </w:t>
      </w:r>
      <w:r>
        <w:rPr>
          <w:rFonts w:ascii="Times New Roman" w:hAnsi="Times New Roman"/>
          <w:color w:val="231F20"/>
          <w:lang w:val="hr-HR" w:eastAsia="hr-HR"/>
        </w:rPr>
        <w:t xml:space="preserve">gradnja </w:t>
      </w:r>
      <w:r w:rsidRPr="003D7E1A">
        <w:rPr>
          <w:rFonts w:ascii="Times New Roman" w:hAnsi="Times New Roman"/>
          <w:color w:val="231F20"/>
          <w:lang w:val="hr-HR" w:eastAsia="hr-HR"/>
        </w:rPr>
        <w:t>građevine komunalne infrastrukture koje će se graditi radi uređenja neuređenih dijelova građevinskog područja</w:t>
      </w:r>
      <w:r>
        <w:rPr>
          <w:rFonts w:ascii="Times New Roman" w:hAnsi="Times New Roman"/>
          <w:color w:val="231F20"/>
          <w:lang w:val="hr-HR" w:eastAsia="hr-HR"/>
        </w:rPr>
        <w:t xml:space="preserve">, </w:t>
      </w:r>
      <w:r w:rsidR="00861A6B">
        <w:rPr>
          <w:rFonts w:ascii="Times New Roman" w:hAnsi="Times New Roman"/>
          <w:color w:val="231F20"/>
          <w:lang w:val="hr-HR" w:eastAsia="hr-HR"/>
        </w:rPr>
        <w:t xml:space="preserve">niti uklanjanje građevina komunalne infrastrukture, </w:t>
      </w:r>
      <w:r>
        <w:rPr>
          <w:rFonts w:ascii="Times New Roman" w:hAnsi="Times New Roman"/>
          <w:color w:val="231F20"/>
          <w:lang w:val="hr-HR" w:eastAsia="hr-HR"/>
        </w:rPr>
        <w:t xml:space="preserve">te je bila utvrđena slijedeća rekapitulacija programa po vrsti i izvorima financiranja:  </w:t>
      </w:r>
    </w:p>
    <w:p w:rsidR="003D7E1A" w:rsidRPr="003D7E1A" w:rsidRDefault="003D7E1A" w:rsidP="003D7E1A">
      <w:pPr>
        <w:jc w:val="both"/>
        <w:rPr>
          <w:rFonts w:ascii="Times New Roman" w:hAnsi="Times New Roman"/>
          <w:b/>
          <w:lang w:val="hr-HR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628"/>
        <w:gridCol w:w="2262"/>
      </w:tblGrid>
      <w:tr w:rsidR="00CE7161" w:rsidRPr="003D7E1A" w:rsidTr="00861A6B">
        <w:tc>
          <w:tcPr>
            <w:tcW w:w="750" w:type="dxa"/>
            <w:shd w:val="clear" w:color="auto" w:fill="F2F2F2"/>
          </w:tcPr>
          <w:p w:rsidR="00CE7161" w:rsidRPr="003D7E1A" w:rsidRDefault="00CE7161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6628" w:type="dxa"/>
            <w:shd w:val="clear" w:color="auto" w:fill="F2F2F2"/>
          </w:tcPr>
          <w:p w:rsidR="00CE7161" w:rsidRPr="003D7E1A" w:rsidRDefault="00CE7161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2262" w:type="dxa"/>
            <w:shd w:val="clear" w:color="auto" w:fill="F2F2F2"/>
          </w:tcPr>
          <w:p w:rsidR="00CE7161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:rsidR="00CE7161" w:rsidRPr="003D7E1A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u kunama </w:t>
            </w:r>
          </w:p>
          <w:p w:rsidR="00CE7161" w:rsidRPr="003D7E1A" w:rsidRDefault="00CE7161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CE7161" w:rsidRPr="003D7E1A" w:rsidTr="00861A6B">
        <w:tc>
          <w:tcPr>
            <w:tcW w:w="750" w:type="dxa"/>
          </w:tcPr>
          <w:p w:rsidR="00CE7161" w:rsidRPr="003D7E1A" w:rsidRDefault="00CE7161" w:rsidP="003D7E1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628" w:type="dxa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262" w:type="dxa"/>
            <w:shd w:val="clear" w:color="auto" w:fill="FFFFFF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1.177.694,20</w:t>
            </w:r>
          </w:p>
        </w:tc>
      </w:tr>
      <w:tr w:rsidR="00CE7161" w:rsidRPr="003D7E1A" w:rsidTr="00861A6B">
        <w:tc>
          <w:tcPr>
            <w:tcW w:w="750" w:type="dxa"/>
          </w:tcPr>
          <w:p w:rsidR="00CE7161" w:rsidRPr="003D7E1A" w:rsidRDefault="00CE7161" w:rsidP="003D7E1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628" w:type="dxa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postojeće građevine komunalne infrastrukture koje će se rekonstruirati i način rekonstrukcije</w:t>
            </w:r>
          </w:p>
        </w:tc>
        <w:tc>
          <w:tcPr>
            <w:tcW w:w="2262" w:type="dxa"/>
            <w:shd w:val="clear" w:color="auto" w:fill="FFFFFF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292.643,50</w:t>
            </w:r>
          </w:p>
        </w:tc>
      </w:tr>
      <w:tr w:rsidR="00CE7161" w:rsidRPr="003D7E1A" w:rsidTr="00861A6B">
        <w:tc>
          <w:tcPr>
            <w:tcW w:w="750" w:type="dxa"/>
          </w:tcPr>
          <w:p w:rsidR="00CE7161" w:rsidRPr="003D7E1A" w:rsidRDefault="00CE7161" w:rsidP="003D7E1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628" w:type="dxa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graditi radi uređenja neuređenih dijelova građevinskog područja</w:t>
            </w:r>
          </w:p>
        </w:tc>
        <w:tc>
          <w:tcPr>
            <w:tcW w:w="2262" w:type="dxa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CE7161" w:rsidRPr="003D7E1A" w:rsidTr="00861A6B">
        <w:tc>
          <w:tcPr>
            <w:tcW w:w="750" w:type="dxa"/>
          </w:tcPr>
          <w:p w:rsidR="00CE7161" w:rsidRPr="003D7E1A" w:rsidRDefault="00CE7161" w:rsidP="003D7E1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628" w:type="dxa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graditi izvan građevinskog područja</w:t>
            </w:r>
          </w:p>
        </w:tc>
        <w:tc>
          <w:tcPr>
            <w:tcW w:w="2262" w:type="dxa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CE7161" w:rsidRPr="003D7E1A" w:rsidTr="00861A6B">
        <w:tc>
          <w:tcPr>
            <w:tcW w:w="750" w:type="dxa"/>
          </w:tcPr>
          <w:p w:rsidR="00CE7161" w:rsidRPr="003D7E1A" w:rsidRDefault="00CE7161" w:rsidP="003D7E1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628" w:type="dxa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uklanjati</w:t>
            </w:r>
          </w:p>
        </w:tc>
        <w:tc>
          <w:tcPr>
            <w:tcW w:w="2262" w:type="dxa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CE7161" w:rsidRPr="003D7E1A" w:rsidTr="00861A6B">
        <w:tc>
          <w:tcPr>
            <w:tcW w:w="750" w:type="dxa"/>
            <w:shd w:val="clear" w:color="auto" w:fill="F2F2F2"/>
          </w:tcPr>
          <w:p w:rsidR="00CE7161" w:rsidRPr="003D7E1A" w:rsidRDefault="00CE7161" w:rsidP="003D7E1A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628" w:type="dxa"/>
            <w:shd w:val="clear" w:color="auto" w:fill="F2F2F2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b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b/>
                <w:color w:val="231F20"/>
                <w:lang w:val="hr-HR" w:eastAsia="hr-HR"/>
              </w:rPr>
              <w:t xml:space="preserve">UKUPNO </w:t>
            </w:r>
          </w:p>
        </w:tc>
        <w:tc>
          <w:tcPr>
            <w:tcW w:w="2262" w:type="dxa"/>
            <w:shd w:val="clear" w:color="auto" w:fill="F2F2F2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1.470.337,70</w:t>
            </w:r>
          </w:p>
        </w:tc>
      </w:tr>
    </w:tbl>
    <w:p w:rsidR="00CE7161" w:rsidRPr="003D7E1A" w:rsidRDefault="00CE7161" w:rsidP="003D7E1A">
      <w:pPr>
        <w:jc w:val="both"/>
        <w:rPr>
          <w:rFonts w:ascii="Times New Roman" w:hAnsi="Times New Roman"/>
          <w:b/>
          <w:lang w:val="hr-HR"/>
        </w:rPr>
      </w:pPr>
    </w:p>
    <w:p w:rsidR="003D7E1A" w:rsidRPr="003D7E1A" w:rsidRDefault="003D7E1A" w:rsidP="003D7E1A">
      <w:pPr>
        <w:jc w:val="both"/>
        <w:rPr>
          <w:rFonts w:ascii="Times New Roman" w:hAnsi="Times New Roman"/>
          <w:b/>
          <w:lang w:val="hr-HR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627"/>
        <w:gridCol w:w="2263"/>
      </w:tblGrid>
      <w:tr w:rsidR="00CE7161" w:rsidRPr="003D7E1A" w:rsidTr="00861A6B">
        <w:tc>
          <w:tcPr>
            <w:tcW w:w="710" w:type="dxa"/>
            <w:shd w:val="clear" w:color="auto" w:fill="F2F2F2"/>
          </w:tcPr>
          <w:p w:rsidR="00CE7161" w:rsidRPr="003D7E1A" w:rsidRDefault="00CE7161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6662" w:type="dxa"/>
            <w:shd w:val="clear" w:color="auto" w:fill="F2F2F2"/>
          </w:tcPr>
          <w:p w:rsidR="00CE7161" w:rsidRPr="003D7E1A" w:rsidRDefault="00CE7161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2268" w:type="dxa"/>
            <w:shd w:val="clear" w:color="auto" w:fill="F2F2F2"/>
          </w:tcPr>
          <w:p w:rsidR="00CE7161" w:rsidRPr="003D7E1A" w:rsidRDefault="00CE7161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 xml:space="preserve">Novi </w:t>
            </w:r>
          </w:p>
          <w:p w:rsidR="00CE7161" w:rsidRPr="003D7E1A" w:rsidRDefault="00CE7161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 xml:space="preserve">Plan </w:t>
            </w:r>
          </w:p>
          <w:p w:rsidR="00CE7161" w:rsidRPr="003D7E1A" w:rsidRDefault="00CE7161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kn</w:t>
            </w:r>
          </w:p>
        </w:tc>
      </w:tr>
      <w:tr w:rsidR="00CE7161" w:rsidRPr="003D7E1A" w:rsidTr="00861A6B">
        <w:tc>
          <w:tcPr>
            <w:tcW w:w="710" w:type="dxa"/>
          </w:tcPr>
          <w:p w:rsidR="00CE7161" w:rsidRPr="003D7E1A" w:rsidRDefault="00CE7161" w:rsidP="003D7E1A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662" w:type="dxa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Proračun Općine Vladislavci</w:t>
            </w:r>
          </w:p>
        </w:tc>
        <w:tc>
          <w:tcPr>
            <w:tcW w:w="2268" w:type="dxa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478.573,70</w:t>
            </w:r>
          </w:p>
        </w:tc>
      </w:tr>
      <w:tr w:rsidR="00CE7161" w:rsidRPr="003D7E1A" w:rsidTr="00861A6B">
        <w:tc>
          <w:tcPr>
            <w:tcW w:w="710" w:type="dxa"/>
          </w:tcPr>
          <w:p w:rsidR="00CE7161" w:rsidRPr="003D7E1A" w:rsidRDefault="00CE7161" w:rsidP="003D7E1A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662" w:type="dxa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 xml:space="preserve">Proračun Općine Vladislavci – komunalna naknada </w:t>
            </w:r>
          </w:p>
        </w:tc>
        <w:tc>
          <w:tcPr>
            <w:tcW w:w="2268" w:type="dxa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113.063,00</w:t>
            </w:r>
          </w:p>
        </w:tc>
      </w:tr>
      <w:tr w:rsidR="00CE7161" w:rsidRPr="003D7E1A" w:rsidTr="00861A6B">
        <w:tc>
          <w:tcPr>
            <w:tcW w:w="710" w:type="dxa"/>
          </w:tcPr>
          <w:p w:rsidR="00CE7161" w:rsidRPr="003D7E1A" w:rsidRDefault="00CE7161" w:rsidP="003D7E1A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662" w:type="dxa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Proračun Općine Vladislavci – komunalni doprinos</w:t>
            </w:r>
          </w:p>
        </w:tc>
        <w:tc>
          <w:tcPr>
            <w:tcW w:w="2268" w:type="dxa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CE7161" w:rsidRPr="003D7E1A" w:rsidTr="00861A6B">
        <w:tc>
          <w:tcPr>
            <w:tcW w:w="710" w:type="dxa"/>
          </w:tcPr>
          <w:p w:rsidR="00CE7161" w:rsidRPr="003D7E1A" w:rsidRDefault="00CE7161" w:rsidP="003D7E1A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662" w:type="dxa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Proračun Općine Vladislavci – naknada za legalizaciju</w:t>
            </w:r>
          </w:p>
        </w:tc>
        <w:tc>
          <w:tcPr>
            <w:tcW w:w="2268" w:type="dxa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CE7161" w:rsidRPr="003D7E1A" w:rsidTr="00861A6B">
        <w:tc>
          <w:tcPr>
            <w:tcW w:w="710" w:type="dxa"/>
          </w:tcPr>
          <w:p w:rsidR="00CE7161" w:rsidRPr="003D7E1A" w:rsidRDefault="00CE7161" w:rsidP="003D7E1A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662" w:type="dxa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Proračun Osječko-baranjske županije 2018.</w:t>
            </w:r>
          </w:p>
        </w:tc>
        <w:tc>
          <w:tcPr>
            <w:tcW w:w="2268" w:type="dxa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400.000,00</w:t>
            </w:r>
          </w:p>
        </w:tc>
      </w:tr>
      <w:tr w:rsidR="00CE7161" w:rsidRPr="003D7E1A" w:rsidTr="00861A6B">
        <w:tc>
          <w:tcPr>
            <w:tcW w:w="710" w:type="dxa"/>
          </w:tcPr>
          <w:p w:rsidR="00CE7161" w:rsidRPr="003D7E1A" w:rsidRDefault="00CE7161" w:rsidP="003D7E1A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662" w:type="dxa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Državni proračun RH</w:t>
            </w:r>
          </w:p>
        </w:tc>
        <w:tc>
          <w:tcPr>
            <w:tcW w:w="2268" w:type="dxa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338.701,00</w:t>
            </w:r>
          </w:p>
        </w:tc>
      </w:tr>
      <w:tr w:rsidR="00CE7161" w:rsidRPr="003D7E1A" w:rsidTr="00861A6B">
        <w:tc>
          <w:tcPr>
            <w:tcW w:w="710" w:type="dxa"/>
          </w:tcPr>
          <w:p w:rsidR="00CE7161" w:rsidRPr="003D7E1A" w:rsidRDefault="00CE7161" w:rsidP="003D7E1A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662" w:type="dxa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 xml:space="preserve">Sredstva iz EU fondova </w:t>
            </w:r>
          </w:p>
        </w:tc>
        <w:tc>
          <w:tcPr>
            <w:tcW w:w="2268" w:type="dxa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120.000,00</w:t>
            </w:r>
          </w:p>
        </w:tc>
      </w:tr>
      <w:tr w:rsidR="00CE7161" w:rsidRPr="003D7E1A" w:rsidTr="00861A6B">
        <w:tc>
          <w:tcPr>
            <w:tcW w:w="710" w:type="dxa"/>
            <w:shd w:val="clear" w:color="auto" w:fill="F2F2F2"/>
          </w:tcPr>
          <w:p w:rsidR="00CE7161" w:rsidRPr="003D7E1A" w:rsidRDefault="00CE7161" w:rsidP="003D7E1A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662" w:type="dxa"/>
            <w:shd w:val="clear" w:color="auto" w:fill="F2F2F2"/>
          </w:tcPr>
          <w:p w:rsidR="00CE7161" w:rsidRPr="003D7E1A" w:rsidRDefault="00CE7161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b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b/>
                <w:color w:val="231F20"/>
                <w:lang w:val="hr-HR" w:eastAsia="hr-HR"/>
              </w:rPr>
              <w:t xml:space="preserve">UKUPNO </w:t>
            </w:r>
          </w:p>
        </w:tc>
        <w:tc>
          <w:tcPr>
            <w:tcW w:w="2268" w:type="dxa"/>
            <w:shd w:val="clear" w:color="auto" w:fill="F2F2F2"/>
          </w:tcPr>
          <w:p w:rsidR="00CE7161" w:rsidRPr="003D7E1A" w:rsidRDefault="00CE7161" w:rsidP="003D7E1A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1.470.337,70</w:t>
            </w:r>
          </w:p>
        </w:tc>
      </w:tr>
    </w:tbl>
    <w:p w:rsidR="003D7E1A" w:rsidRPr="003D7E1A" w:rsidRDefault="003D7E1A" w:rsidP="003D7E1A">
      <w:pPr>
        <w:jc w:val="both"/>
        <w:rPr>
          <w:rFonts w:ascii="Times New Roman" w:hAnsi="Times New Roman"/>
          <w:b/>
          <w:lang w:val="hr-HR"/>
        </w:rPr>
      </w:pPr>
    </w:p>
    <w:p w:rsidR="003D7E1A" w:rsidRPr="003D7E1A" w:rsidRDefault="003D7E1A" w:rsidP="003D7E1A">
      <w:pPr>
        <w:jc w:val="both"/>
        <w:rPr>
          <w:rFonts w:ascii="Times New Roman" w:hAnsi="Times New Roman"/>
          <w:b/>
          <w:lang w:val="hr-HR"/>
        </w:rPr>
      </w:pPr>
    </w:p>
    <w:p w:rsidR="001602B7" w:rsidRDefault="009F463C" w:rsidP="001602B7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F408E2" w:rsidRPr="009F463C" w:rsidRDefault="009F463C" w:rsidP="009F463C">
      <w:pPr>
        <w:pStyle w:val="Tijeloteksta"/>
        <w:rPr>
          <w:rFonts w:ascii="Times New Roman" w:hAnsi="Times New Roman"/>
          <w:lang w:val="hr-HR"/>
        </w:rPr>
      </w:pPr>
      <w:r w:rsidRPr="009F463C">
        <w:rPr>
          <w:rFonts w:ascii="Times New Roman" w:hAnsi="Times New Roman"/>
          <w:lang w:val="hr-HR"/>
        </w:rPr>
        <w:t>U 201</w:t>
      </w:r>
      <w:r w:rsidR="00CE7161">
        <w:rPr>
          <w:rFonts w:ascii="Times New Roman" w:hAnsi="Times New Roman"/>
          <w:lang w:val="hr-HR"/>
        </w:rPr>
        <w:t>9</w:t>
      </w:r>
      <w:r w:rsidRPr="009F463C">
        <w:rPr>
          <w:rFonts w:ascii="Times New Roman" w:hAnsi="Times New Roman"/>
          <w:lang w:val="hr-HR"/>
        </w:rPr>
        <w:t>. godini izgrađeni su slijedeći objekti i uređaji komunalne infrastru</w:t>
      </w:r>
      <w:r>
        <w:rPr>
          <w:rFonts w:ascii="Times New Roman" w:hAnsi="Times New Roman"/>
          <w:lang w:val="hr-HR"/>
        </w:rPr>
        <w:t>k</w:t>
      </w:r>
      <w:r w:rsidRPr="009F463C">
        <w:rPr>
          <w:rFonts w:ascii="Times New Roman" w:hAnsi="Times New Roman"/>
          <w:lang w:val="hr-HR"/>
        </w:rPr>
        <w:t xml:space="preserve">ture: </w:t>
      </w:r>
    </w:p>
    <w:p w:rsidR="00861A6B" w:rsidRPr="00861A6B" w:rsidRDefault="00861A6B" w:rsidP="00861A6B">
      <w:pPr>
        <w:pStyle w:val="Odlomakpopisa"/>
        <w:numPr>
          <w:ilvl w:val="0"/>
          <w:numId w:val="36"/>
        </w:numPr>
        <w:ind w:left="426" w:hanging="426"/>
        <w:rPr>
          <w:rFonts w:ascii="Times New Roman" w:hAnsi="Times New Roman"/>
          <w:lang w:val="hr-HR"/>
        </w:rPr>
      </w:pPr>
      <w:r w:rsidRPr="00861A6B">
        <w:rPr>
          <w:rFonts w:ascii="Times New Roman" w:hAnsi="Times New Roman"/>
          <w:lang w:val="hr-HR"/>
        </w:rPr>
        <w:t xml:space="preserve">građevine komunalne infrastrukture koje će se graditi u uređenim dijelovima </w:t>
      </w:r>
      <w:r>
        <w:rPr>
          <w:rFonts w:ascii="Times New Roman" w:hAnsi="Times New Roman"/>
          <w:lang w:val="hr-HR"/>
        </w:rPr>
        <w:t xml:space="preserve"> g</w:t>
      </w:r>
      <w:r w:rsidRPr="00861A6B">
        <w:rPr>
          <w:rFonts w:ascii="Times New Roman" w:hAnsi="Times New Roman"/>
          <w:lang w:val="hr-HR"/>
        </w:rPr>
        <w:t>rađevinskog područja naselja na području Općine Vladislavci:</w:t>
      </w:r>
    </w:p>
    <w:p w:rsidR="00CE7161" w:rsidRPr="003D7E1A" w:rsidRDefault="00CE7161" w:rsidP="00CE7161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38"/>
        <w:gridCol w:w="1973"/>
        <w:gridCol w:w="1655"/>
        <w:gridCol w:w="1559"/>
      </w:tblGrid>
      <w:tr w:rsidR="00CE7161" w:rsidRPr="003D7E1A" w:rsidTr="00CE7161">
        <w:tc>
          <w:tcPr>
            <w:tcW w:w="843" w:type="dxa"/>
            <w:shd w:val="clear" w:color="auto" w:fill="D9D9D9"/>
          </w:tcPr>
          <w:p w:rsidR="00CE7161" w:rsidRPr="003D7E1A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38" w:type="dxa"/>
            <w:shd w:val="clear" w:color="auto" w:fill="D9D9D9"/>
          </w:tcPr>
          <w:p w:rsidR="00CE7161" w:rsidRPr="003D7E1A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973" w:type="dxa"/>
            <w:shd w:val="clear" w:color="auto" w:fill="D9D9D9"/>
          </w:tcPr>
          <w:p w:rsidR="00CE7161" w:rsidRPr="003D7E1A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CE7161" w:rsidRPr="003D7E1A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655" w:type="dxa"/>
            <w:shd w:val="clear" w:color="auto" w:fill="D9D9D9"/>
          </w:tcPr>
          <w:p w:rsidR="00CE7161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:rsidR="00CE7161" w:rsidRPr="003D7E1A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u kunama </w:t>
            </w:r>
          </w:p>
          <w:p w:rsidR="00CE7161" w:rsidRPr="003D7E1A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59" w:type="dxa"/>
            <w:shd w:val="clear" w:color="auto" w:fill="D9D9D9"/>
          </w:tcPr>
          <w:p w:rsidR="00CE7161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:rsidR="00CE7161" w:rsidRPr="003D7E1A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u kunama </w:t>
            </w:r>
          </w:p>
          <w:p w:rsidR="00CE7161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1.</w:t>
            </w: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Izrada projektne dokumentacije za izgradnju i modernizaciju  energetski učinkovite javne rasvjete na području Općine  Vladislavci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655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559" w:type="dxa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</w:tr>
      <w:tr w:rsidR="00CE7161" w:rsidRPr="003D7E1A" w:rsidTr="00CE7161">
        <w:tc>
          <w:tcPr>
            <w:tcW w:w="843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973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shd w:val="clear" w:color="auto" w:fill="FFFFFF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FF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559" w:type="dxa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E7161" w:rsidRPr="003D7E1A" w:rsidTr="00CE7161">
        <w:tc>
          <w:tcPr>
            <w:tcW w:w="843" w:type="dxa"/>
            <w:shd w:val="clear" w:color="auto" w:fill="F2F2F2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  <w:shd w:val="clear" w:color="auto" w:fill="F2F2F2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73" w:type="dxa"/>
            <w:shd w:val="clear" w:color="auto" w:fill="F2F2F2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shd w:val="clear" w:color="auto" w:fill="F2F2F2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 xml:space="preserve">2. </w:t>
            </w: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 kuće oproštaja u Dopsinu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655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600.000,00</w:t>
            </w:r>
          </w:p>
        </w:tc>
        <w:tc>
          <w:tcPr>
            <w:tcW w:w="1559" w:type="dxa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</w:tr>
      <w:tr w:rsidR="00CE7161" w:rsidRPr="003D7E1A" w:rsidTr="00CE7161">
        <w:tc>
          <w:tcPr>
            <w:tcW w:w="843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973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shd w:val="clear" w:color="auto" w:fill="FFFFFF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FF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županije, 2018.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559" w:type="dxa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</w:tcPr>
          <w:p w:rsidR="00CE7161" w:rsidRPr="003D7E1A" w:rsidRDefault="00CE7161" w:rsidP="00725DB5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180.000,00</w:t>
            </w:r>
          </w:p>
        </w:tc>
        <w:tc>
          <w:tcPr>
            <w:tcW w:w="1559" w:type="dxa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E7161" w:rsidRPr="003D7E1A" w:rsidTr="00CE7161">
        <w:tc>
          <w:tcPr>
            <w:tcW w:w="843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naknada za legalizaciju</w:t>
            </w:r>
          </w:p>
        </w:tc>
        <w:tc>
          <w:tcPr>
            <w:tcW w:w="1973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shd w:val="clear" w:color="auto" w:fill="FFFFFF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559" w:type="dxa"/>
            <w:shd w:val="clear" w:color="auto" w:fill="FFFFFF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E7161" w:rsidRPr="003D7E1A" w:rsidTr="00CE7161">
        <w:tc>
          <w:tcPr>
            <w:tcW w:w="843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komunalni doprinos </w:t>
            </w:r>
          </w:p>
        </w:tc>
        <w:tc>
          <w:tcPr>
            <w:tcW w:w="1973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shd w:val="clear" w:color="auto" w:fill="FFFFFF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559" w:type="dxa"/>
            <w:shd w:val="clear" w:color="auto" w:fill="FFFFFF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E7161" w:rsidRPr="003D7E1A" w:rsidTr="00CE7161">
        <w:tc>
          <w:tcPr>
            <w:tcW w:w="843" w:type="dxa"/>
            <w:shd w:val="clear" w:color="auto" w:fill="F2F2F2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  <w:shd w:val="clear" w:color="auto" w:fill="F2F2F2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73" w:type="dxa"/>
            <w:shd w:val="clear" w:color="auto" w:fill="F2F2F2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shd w:val="clear" w:color="auto" w:fill="F2F2F2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 xml:space="preserve">3. </w:t>
            </w: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655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8.000,00</w:t>
            </w:r>
          </w:p>
        </w:tc>
        <w:tc>
          <w:tcPr>
            <w:tcW w:w="1559" w:type="dxa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7.207,82</w:t>
            </w:r>
          </w:p>
        </w:tc>
      </w:tr>
      <w:tr w:rsidR="00CE7161" w:rsidRPr="003D7E1A" w:rsidTr="00CE7161">
        <w:tc>
          <w:tcPr>
            <w:tcW w:w="843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973" w:type="dxa"/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shd w:val="clear" w:color="auto" w:fill="FFFFFF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FF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8.000,00</w:t>
            </w:r>
          </w:p>
        </w:tc>
        <w:tc>
          <w:tcPr>
            <w:tcW w:w="1559" w:type="dxa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7.207,82</w:t>
            </w: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 xml:space="preserve">4. </w:t>
            </w: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i opremanje dječjeg igrališta u Vladislavcima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Javne zelene površine </w:t>
            </w:r>
          </w:p>
        </w:tc>
        <w:tc>
          <w:tcPr>
            <w:tcW w:w="1655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130.000,00</w:t>
            </w:r>
          </w:p>
        </w:tc>
        <w:tc>
          <w:tcPr>
            <w:tcW w:w="1559" w:type="dxa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Sredstva iz EU fondova 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120.000,00</w:t>
            </w:r>
          </w:p>
        </w:tc>
        <w:tc>
          <w:tcPr>
            <w:tcW w:w="1559" w:type="dxa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559" w:type="dxa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E7161" w:rsidRPr="003D7E1A" w:rsidTr="00CE7161">
        <w:tc>
          <w:tcPr>
            <w:tcW w:w="843" w:type="dxa"/>
            <w:shd w:val="clear" w:color="auto" w:fill="F2F2F2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  <w:shd w:val="clear" w:color="auto" w:fill="F2F2F2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73" w:type="dxa"/>
            <w:shd w:val="clear" w:color="auto" w:fill="F2F2F2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shd w:val="clear" w:color="auto" w:fill="F2F2F2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5.</w:t>
            </w: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Izrada ograde oko nogometnog igrališta NK Goleo Dopsin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Javne zelene površine </w:t>
            </w:r>
          </w:p>
        </w:tc>
        <w:tc>
          <w:tcPr>
            <w:tcW w:w="1655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113.063,00</w:t>
            </w:r>
          </w:p>
        </w:tc>
        <w:tc>
          <w:tcPr>
            <w:tcW w:w="1559" w:type="dxa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113.062,50</w:t>
            </w: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3D7E1A" w:rsidTr="00CE7161">
        <w:tc>
          <w:tcPr>
            <w:tcW w:w="84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Vladislavci-komunalna naknada  </w:t>
            </w:r>
          </w:p>
        </w:tc>
        <w:tc>
          <w:tcPr>
            <w:tcW w:w="1973" w:type="dxa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113.063,00</w:t>
            </w:r>
          </w:p>
        </w:tc>
        <w:tc>
          <w:tcPr>
            <w:tcW w:w="1559" w:type="dxa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113.062,50</w:t>
            </w:r>
          </w:p>
        </w:tc>
      </w:tr>
      <w:tr w:rsidR="00CE7161" w:rsidRPr="003D7E1A" w:rsidTr="00CE7161">
        <w:tc>
          <w:tcPr>
            <w:tcW w:w="843" w:type="dxa"/>
            <w:shd w:val="clear" w:color="auto" w:fill="D9D9D9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  <w:shd w:val="clear" w:color="auto" w:fill="D9D9D9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73" w:type="dxa"/>
            <w:shd w:val="clear" w:color="auto" w:fill="D9D9D9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shd w:val="clear" w:color="auto" w:fill="D9D9D9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D9D9D9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3D7E1A" w:rsidTr="00CE716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 xml:space="preserve">6.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javne rasvjete na ulasku u naselje Vladislavci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306.631,25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222.000,00</w:t>
            </w:r>
          </w:p>
        </w:tc>
      </w:tr>
      <w:tr w:rsidR="00CE7161" w:rsidRPr="003D7E1A" w:rsidTr="00CE716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3D7E1A" w:rsidTr="00CE716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220.000,00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220.000,00</w:t>
            </w:r>
          </w:p>
        </w:tc>
      </w:tr>
      <w:tr w:rsidR="00CE7161" w:rsidRPr="003D7E1A" w:rsidTr="00CE716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86.631,25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2.000,00</w:t>
            </w:r>
          </w:p>
        </w:tc>
      </w:tr>
      <w:tr w:rsidR="00CE7161" w:rsidRPr="003D7E1A" w:rsidTr="00CE716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3D7E1A" w:rsidTr="00CE7161">
        <w:tc>
          <w:tcPr>
            <w:tcW w:w="843" w:type="dxa"/>
            <w:shd w:val="clear" w:color="auto" w:fill="F2F2F2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38" w:type="dxa"/>
            <w:shd w:val="clear" w:color="auto" w:fill="F2F2F2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Ukupno izgradnja </w:t>
            </w:r>
            <w:r w:rsidRPr="003D7E1A">
              <w:rPr>
                <w:rFonts w:ascii="Times New Roman" w:hAnsi="Times New Roman"/>
                <w:b/>
                <w:color w:val="231F20"/>
                <w:sz w:val="22"/>
                <w:szCs w:val="22"/>
                <w:lang w:val="x-none"/>
              </w:rPr>
              <w:t>građevin</w:t>
            </w:r>
            <w:r w:rsidRPr="003D7E1A">
              <w:rPr>
                <w:rFonts w:ascii="Times New Roman" w:hAnsi="Times New Roman"/>
                <w:b/>
                <w:color w:val="231F20"/>
                <w:sz w:val="22"/>
                <w:szCs w:val="22"/>
                <w:lang w:val="hr-HR"/>
              </w:rPr>
              <w:t>a</w:t>
            </w:r>
            <w:r w:rsidRPr="003D7E1A">
              <w:rPr>
                <w:rFonts w:ascii="Times New Roman" w:hAnsi="Times New Roman"/>
                <w:b/>
                <w:color w:val="231F20"/>
                <w:sz w:val="22"/>
                <w:szCs w:val="22"/>
                <w:lang w:val="x-none"/>
              </w:rPr>
              <w:t xml:space="preserve"> komunalne infrastrukture</w:t>
            </w:r>
          </w:p>
        </w:tc>
        <w:tc>
          <w:tcPr>
            <w:tcW w:w="1973" w:type="dxa"/>
            <w:shd w:val="clear" w:color="auto" w:fill="F2F2F2"/>
          </w:tcPr>
          <w:p w:rsidR="00CE7161" w:rsidRPr="003D7E1A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655" w:type="dxa"/>
            <w:shd w:val="clear" w:color="auto" w:fill="F2F2F2"/>
          </w:tcPr>
          <w:p w:rsidR="00CE7161" w:rsidRPr="003D7E1A" w:rsidRDefault="00CE7161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1.177.694,20</w:t>
            </w:r>
          </w:p>
        </w:tc>
        <w:tc>
          <w:tcPr>
            <w:tcW w:w="1559" w:type="dxa"/>
            <w:shd w:val="clear" w:color="auto" w:fill="F2F2F2"/>
          </w:tcPr>
          <w:p w:rsidR="00CE7161" w:rsidRPr="003D7E1A" w:rsidRDefault="0070640C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342.270,32</w:t>
            </w:r>
          </w:p>
        </w:tc>
      </w:tr>
    </w:tbl>
    <w:p w:rsidR="00CE7161" w:rsidRPr="003D7E1A" w:rsidRDefault="00CE7161" w:rsidP="00CE7161">
      <w:pPr>
        <w:jc w:val="both"/>
        <w:rPr>
          <w:rFonts w:ascii="Times New Roman" w:hAnsi="Times New Roman"/>
          <w:lang w:val="hr-HR"/>
        </w:rPr>
      </w:pPr>
    </w:p>
    <w:p w:rsidR="00CE7161" w:rsidRDefault="00CE7161" w:rsidP="00CE7161">
      <w:pPr>
        <w:jc w:val="both"/>
        <w:rPr>
          <w:b/>
          <w:color w:val="231F20"/>
          <w:lang w:val="hr-HR"/>
        </w:rPr>
      </w:pPr>
    </w:p>
    <w:p w:rsidR="00CE7161" w:rsidRPr="00861A6B" w:rsidRDefault="00CE7161" w:rsidP="00861A6B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b/>
          <w:color w:val="231F20"/>
          <w:lang w:val="hr-HR"/>
        </w:rPr>
      </w:pPr>
      <w:r w:rsidRPr="00861A6B">
        <w:rPr>
          <w:rFonts w:ascii="Times New Roman" w:hAnsi="Times New Roman"/>
          <w:lang w:val="hr-HR"/>
        </w:rPr>
        <w:t xml:space="preserve">rekonstrukcija postojećih građevina komunalne infrastrukture u naseljima na </w:t>
      </w:r>
      <w:r w:rsidRPr="00861A6B">
        <w:rPr>
          <w:rFonts w:ascii="Times New Roman" w:hAnsi="Times New Roman"/>
          <w:color w:val="231F20"/>
          <w:lang w:val="hr-HR"/>
        </w:rPr>
        <w:t>području Općine Vladislavci :</w:t>
      </w:r>
    </w:p>
    <w:p w:rsidR="00CE7161" w:rsidRPr="00D477E2" w:rsidRDefault="00CE7161" w:rsidP="00CE7161">
      <w:pPr>
        <w:pStyle w:val="Odlomakpopisa"/>
        <w:jc w:val="both"/>
        <w:rPr>
          <w:rFonts w:ascii="Times New Roman" w:hAnsi="Times New Roman"/>
          <w:b/>
          <w:color w:val="231F20"/>
          <w:lang w:val="hr-HR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580"/>
        <w:gridCol w:w="1985"/>
        <w:gridCol w:w="1701"/>
        <w:gridCol w:w="1559"/>
      </w:tblGrid>
      <w:tr w:rsidR="00CE7161" w:rsidRPr="00D477E2" w:rsidTr="00CE7161">
        <w:tc>
          <w:tcPr>
            <w:tcW w:w="843" w:type="dxa"/>
            <w:shd w:val="clear" w:color="auto" w:fill="D9D9D9"/>
          </w:tcPr>
          <w:p w:rsidR="00CE7161" w:rsidRPr="00D477E2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580" w:type="dxa"/>
            <w:shd w:val="clear" w:color="auto" w:fill="D9D9D9"/>
          </w:tcPr>
          <w:p w:rsidR="00CE7161" w:rsidRPr="00D477E2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985" w:type="dxa"/>
            <w:shd w:val="clear" w:color="auto" w:fill="D9D9D9"/>
          </w:tcPr>
          <w:p w:rsidR="00CE7161" w:rsidRPr="00D477E2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CE7161" w:rsidRPr="00D477E2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701" w:type="dxa"/>
            <w:shd w:val="clear" w:color="auto" w:fill="D9D9D9"/>
          </w:tcPr>
          <w:p w:rsidR="00CE7161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:rsidR="00CE7161" w:rsidRPr="003D7E1A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u kunama </w:t>
            </w:r>
          </w:p>
          <w:p w:rsidR="00CE7161" w:rsidRPr="00D477E2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59" w:type="dxa"/>
            <w:shd w:val="clear" w:color="auto" w:fill="D9D9D9"/>
          </w:tcPr>
          <w:p w:rsidR="00CE7161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:rsidR="00CE7161" w:rsidRPr="003D7E1A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u kunama </w:t>
            </w:r>
          </w:p>
          <w:p w:rsidR="00CE7161" w:rsidRDefault="00CE7161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CE7161" w:rsidRPr="00D477E2" w:rsidTr="00CE7161">
        <w:tc>
          <w:tcPr>
            <w:tcW w:w="843" w:type="dxa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1.</w:t>
            </w:r>
          </w:p>
        </w:tc>
        <w:tc>
          <w:tcPr>
            <w:tcW w:w="3580" w:type="dxa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Rekonstrukcija ceste F. Kiša u Hrastinu</w:t>
            </w:r>
          </w:p>
        </w:tc>
        <w:tc>
          <w:tcPr>
            <w:tcW w:w="1985" w:type="dxa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Nerazvrstane ceste</w:t>
            </w:r>
          </w:p>
        </w:tc>
        <w:tc>
          <w:tcPr>
            <w:tcW w:w="1701" w:type="dxa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D477E2">
              <w:rPr>
                <w:rFonts w:ascii="Times New Roman" w:hAnsi="Times New Roman"/>
                <w:b/>
                <w:lang w:val="hr-HR"/>
              </w:rPr>
              <w:t>118.701,00</w:t>
            </w:r>
          </w:p>
        </w:tc>
        <w:tc>
          <w:tcPr>
            <w:tcW w:w="1559" w:type="dxa"/>
          </w:tcPr>
          <w:p w:rsidR="00CE7161" w:rsidRPr="00D477E2" w:rsidRDefault="0070640C" w:rsidP="00CE7161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114.564,30</w:t>
            </w:r>
          </w:p>
        </w:tc>
      </w:tr>
      <w:tr w:rsidR="00CE7161" w:rsidRPr="00D477E2" w:rsidTr="00CE7161">
        <w:tc>
          <w:tcPr>
            <w:tcW w:w="843" w:type="dxa"/>
            <w:shd w:val="clear" w:color="auto" w:fill="FFFFFF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80" w:type="dxa"/>
            <w:shd w:val="clear" w:color="auto" w:fill="FFFFFF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  <w:r w:rsidRPr="00D477E2">
              <w:rPr>
                <w:rFonts w:ascii="Times New Roman" w:hAnsi="Times New Roman"/>
                <w:lang w:val="hr-HR"/>
              </w:rPr>
              <w:t>Izvori financiranja:</w:t>
            </w:r>
          </w:p>
        </w:tc>
        <w:tc>
          <w:tcPr>
            <w:tcW w:w="1985" w:type="dxa"/>
            <w:shd w:val="clear" w:color="auto" w:fill="FFFFFF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FF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FF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CE7161" w:rsidRPr="00D477E2" w:rsidTr="00CE7161">
        <w:tc>
          <w:tcPr>
            <w:tcW w:w="843" w:type="dxa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580" w:type="dxa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985" w:type="dxa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 w:rsidRPr="00D477E2">
              <w:rPr>
                <w:rFonts w:ascii="Times New Roman" w:hAnsi="Times New Roman"/>
                <w:lang w:val="hr-HR"/>
              </w:rPr>
              <w:t>118.701,00</w:t>
            </w:r>
          </w:p>
        </w:tc>
        <w:tc>
          <w:tcPr>
            <w:tcW w:w="1559" w:type="dxa"/>
          </w:tcPr>
          <w:p w:rsidR="00CE7161" w:rsidRPr="00D477E2" w:rsidRDefault="0070640C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114.564,30</w:t>
            </w:r>
          </w:p>
        </w:tc>
      </w:tr>
      <w:tr w:rsidR="00CE7161" w:rsidRPr="00D477E2" w:rsidTr="00CE7161">
        <w:tc>
          <w:tcPr>
            <w:tcW w:w="843" w:type="dxa"/>
            <w:shd w:val="clear" w:color="auto" w:fill="F2F2F2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580" w:type="dxa"/>
            <w:shd w:val="clear" w:color="auto" w:fill="F2F2F2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F2F2F2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D477E2" w:rsidTr="00CE7161">
        <w:tc>
          <w:tcPr>
            <w:tcW w:w="843" w:type="dxa"/>
            <w:shd w:val="clear" w:color="auto" w:fill="FFFFFF" w:themeFill="background1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</w:t>
            </w:r>
          </w:p>
        </w:tc>
        <w:tc>
          <w:tcPr>
            <w:tcW w:w="3580" w:type="dxa"/>
            <w:shd w:val="clear" w:color="auto" w:fill="FFFFFF" w:themeFill="background1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Restauracija križeva „krajputaša“ na području Općine Vladislavci </w:t>
            </w:r>
          </w:p>
        </w:tc>
        <w:tc>
          <w:tcPr>
            <w:tcW w:w="1985" w:type="dxa"/>
            <w:shd w:val="clear" w:color="auto" w:fill="FFFFFF" w:themeFill="background1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x-none"/>
              </w:rPr>
              <w:t>javne prometne površine na kojima nije dopušten promet motornih vozila</w:t>
            </w:r>
          </w:p>
        </w:tc>
        <w:tc>
          <w:tcPr>
            <w:tcW w:w="1701" w:type="dxa"/>
            <w:shd w:val="clear" w:color="auto" w:fill="FFFFFF" w:themeFill="background1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27.630,00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CE7161" w:rsidRPr="00D477E2" w:rsidRDefault="0070640C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27.625,00</w:t>
            </w:r>
          </w:p>
        </w:tc>
      </w:tr>
      <w:tr w:rsidR="00CE7161" w:rsidRPr="00D477E2" w:rsidTr="00CE7161">
        <w:tc>
          <w:tcPr>
            <w:tcW w:w="843" w:type="dxa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80" w:type="dxa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985" w:type="dxa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D477E2" w:rsidTr="00CE7161">
        <w:tc>
          <w:tcPr>
            <w:tcW w:w="843" w:type="dxa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80" w:type="dxa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985" w:type="dxa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>27.630,00</w:t>
            </w:r>
          </w:p>
        </w:tc>
        <w:tc>
          <w:tcPr>
            <w:tcW w:w="1559" w:type="dxa"/>
          </w:tcPr>
          <w:p w:rsidR="00CE7161" w:rsidRPr="00D477E2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27.625,00</w:t>
            </w:r>
          </w:p>
        </w:tc>
      </w:tr>
      <w:tr w:rsidR="00CE7161" w:rsidRPr="00D477E2" w:rsidTr="00CE7161">
        <w:tc>
          <w:tcPr>
            <w:tcW w:w="843" w:type="dxa"/>
            <w:shd w:val="clear" w:color="auto" w:fill="D9D9D9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80" w:type="dxa"/>
            <w:shd w:val="clear" w:color="auto" w:fill="D9D9D9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D9D9D9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D9D9D9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D477E2" w:rsidTr="00CE716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</w:t>
            </w:r>
            <w:r w:rsidRPr="00D477E2">
              <w:rPr>
                <w:rFonts w:ascii="Times New Roman" w:hAnsi="Times New Roman"/>
                <w:b/>
                <w:lang w:val="hr-HR"/>
              </w:rPr>
              <w:t xml:space="preserve">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Sanacija i modernizacija javne rasvjete u dijelovima naselja Vladislavci, I. Faza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146.312,50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70640C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110.090,00</w:t>
            </w:r>
          </w:p>
        </w:tc>
      </w:tr>
      <w:tr w:rsidR="00CE7161" w:rsidRPr="00D477E2" w:rsidTr="00CE716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E7161" w:rsidRPr="00D477E2" w:rsidTr="00CE716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sz w:val="22"/>
                <w:szCs w:val="22"/>
                <w:lang w:val="hr-HR"/>
              </w:rPr>
              <w:t>146.312,50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61" w:rsidRPr="00D477E2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110.090,00</w:t>
            </w:r>
          </w:p>
        </w:tc>
      </w:tr>
      <w:tr w:rsidR="00CE7161" w:rsidRPr="00D477E2" w:rsidTr="00CE7161">
        <w:tc>
          <w:tcPr>
            <w:tcW w:w="843" w:type="dxa"/>
            <w:shd w:val="clear" w:color="auto" w:fill="D9D9D9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80" w:type="dxa"/>
            <w:shd w:val="clear" w:color="auto" w:fill="D9D9D9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 rekonstrukcija komunalne infrastrukture</w:t>
            </w:r>
          </w:p>
        </w:tc>
        <w:tc>
          <w:tcPr>
            <w:tcW w:w="1985" w:type="dxa"/>
            <w:shd w:val="clear" w:color="auto" w:fill="D9D9D9"/>
          </w:tcPr>
          <w:p w:rsidR="00CE7161" w:rsidRPr="00D477E2" w:rsidRDefault="00CE7161" w:rsidP="00CE716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CE7161" w:rsidRPr="00D477E2" w:rsidRDefault="00CE7161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477E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292.643,50</w:t>
            </w:r>
          </w:p>
        </w:tc>
        <w:tc>
          <w:tcPr>
            <w:tcW w:w="1559" w:type="dxa"/>
            <w:shd w:val="clear" w:color="auto" w:fill="D9D9D9"/>
          </w:tcPr>
          <w:p w:rsidR="00CE7161" w:rsidRPr="00D477E2" w:rsidRDefault="0070640C" w:rsidP="00CE7161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252.279,30</w:t>
            </w:r>
          </w:p>
        </w:tc>
      </w:tr>
    </w:tbl>
    <w:p w:rsidR="00CE7161" w:rsidRDefault="00CE7161" w:rsidP="000829D0">
      <w:pPr>
        <w:pStyle w:val="Tijeloteksta"/>
        <w:rPr>
          <w:rFonts w:ascii="Times New Roman" w:hAnsi="Times New Roman"/>
          <w:lang w:val="hr-HR"/>
        </w:rPr>
      </w:pPr>
    </w:p>
    <w:p w:rsidR="00CE7161" w:rsidRDefault="00CE7161" w:rsidP="000829D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nastavku se daje rekapitulacija programa prema vrsti komunalne infrastrukture i izvorima financiranja: </w:t>
      </w:r>
    </w:p>
    <w:p w:rsidR="00CE7161" w:rsidRDefault="00CE7161" w:rsidP="000829D0">
      <w:pPr>
        <w:pStyle w:val="Tijeloteksta"/>
        <w:rPr>
          <w:rFonts w:ascii="Times New Roman" w:hAnsi="Times New Roman"/>
          <w:lang w:val="hr-HR"/>
        </w:rPr>
      </w:pPr>
    </w:p>
    <w:tbl>
      <w:tblPr>
        <w:tblW w:w="9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890"/>
        <w:gridCol w:w="1958"/>
        <w:gridCol w:w="1893"/>
      </w:tblGrid>
      <w:tr w:rsidR="00861A6B" w:rsidRPr="003D7E1A" w:rsidTr="00861A6B">
        <w:tc>
          <w:tcPr>
            <w:tcW w:w="750" w:type="dxa"/>
            <w:shd w:val="clear" w:color="auto" w:fill="F2F2F2"/>
          </w:tcPr>
          <w:p w:rsidR="00861A6B" w:rsidRPr="003D7E1A" w:rsidRDefault="00861A6B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890" w:type="dxa"/>
            <w:shd w:val="clear" w:color="auto" w:fill="F2F2F2"/>
          </w:tcPr>
          <w:p w:rsidR="00861A6B" w:rsidRPr="003D7E1A" w:rsidRDefault="00861A6B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1958" w:type="dxa"/>
            <w:shd w:val="clear" w:color="auto" w:fill="F2F2F2"/>
          </w:tcPr>
          <w:p w:rsidR="00861A6B" w:rsidRDefault="00861A6B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:rsidR="00861A6B" w:rsidRPr="003D7E1A" w:rsidRDefault="00861A6B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u kunama </w:t>
            </w:r>
          </w:p>
          <w:p w:rsidR="00861A6B" w:rsidRPr="003D7E1A" w:rsidRDefault="00861A6B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93" w:type="dxa"/>
            <w:shd w:val="clear" w:color="auto" w:fill="F2F2F2"/>
          </w:tcPr>
          <w:p w:rsidR="00861A6B" w:rsidRDefault="00861A6B" w:rsidP="00861A6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:rsidR="00861A6B" w:rsidRPr="003D7E1A" w:rsidRDefault="00861A6B" w:rsidP="00861A6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u kunama </w:t>
            </w:r>
          </w:p>
          <w:p w:rsidR="00861A6B" w:rsidRDefault="00861A6B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861A6B" w:rsidRPr="003D7E1A" w:rsidTr="00861A6B">
        <w:tc>
          <w:tcPr>
            <w:tcW w:w="750" w:type="dxa"/>
          </w:tcPr>
          <w:p w:rsidR="00861A6B" w:rsidRPr="003D7E1A" w:rsidRDefault="00861A6B" w:rsidP="00861A6B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90" w:type="dxa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1958" w:type="dxa"/>
            <w:shd w:val="clear" w:color="auto" w:fill="FFFFFF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1.177.694,20</w:t>
            </w:r>
          </w:p>
        </w:tc>
        <w:tc>
          <w:tcPr>
            <w:tcW w:w="1893" w:type="dxa"/>
            <w:shd w:val="clear" w:color="auto" w:fill="FFFFFF"/>
          </w:tcPr>
          <w:p w:rsidR="00861A6B" w:rsidRPr="0070640C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0640C">
              <w:rPr>
                <w:rFonts w:ascii="Times New Roman" w:hAnsi="Times New Roman"/>
                <w:sz w:val="22"/>
                <w:szCs w:val="22"/>
                <w:lang w:val="hr-HR"/>
              </w:rPr>
              <w:t>342.270,32</w:t>
            </w:r>
          </w:p>
        </w:tc>
      </w:tr>
      <w:tr w:rsidR="00861A6B" w:rsidRPr="003D7E1A" w:rsidTr="00861A6B">
        <w:tc>
          <w:tcPr>
            <w:tcW w:w="750" w:type="dxa"/>
          </w:tcPr>
          <w:p w:rsidR="00861A6B" w:rsidRPr="003D7E1A" w:rsidRDefault="00861A6B" w:rsidP="00861A6B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90" w:type="dxa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postojeće građevine komunalne infrastrukture koje će se rekonstruirati i način rekonstrukcije</w:t>
            </w:r>
          </w:p>
        </w:tc>
        <w:tc>
          <w:tcPr>
            <w:tcW w:w="1958" w:type="dxa"/>
            <w:shd w:val="clear" w:color="auto" w:fill="FFFFFF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D7E1A">
              <w:rPr>
                <w:rFonts w:ascii="Times New Roman" w:hAnsi="Times New Roman"/>
                <w:sz w:val="22"/>
                <w:szCs w:val="22"/>
                <w:lang w:val="hr-HR"/>
              </w:rPr>
              <w:t>292.643,50</w:t>
            </w:r>
          </w:p>
        </w:tc>
        <w:tc>
          <w:tcPr>
            <w:tcW w:w="1893" w:type="dxa"/>
            <w:shd w:val="clear" w:color="auto" w:fill="FFFFFF"/>
          </w:tcPr>
          <w:p w:rsidR="00861A6B" w:rsidRPr="003D7E1A" w:rsidRDefault="0070640C" w:rsidP="00CE716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252.279,30</w:t>
            </w:r>
          </w:p>
        </w:tc>
      </w:tr>
      <w:tr w:rsidR="00861A6B" w:rsidRPr="003D7E1A" w:rsidTr="00861A6B">
        <w:tc>
          <w:tcPr>
            <w:tcW w:w="750" w:type="dxa"/>
          </w:tcPr>
          <w:p w:rsidR="00861A6B" w:rsidRPr="003D7E1A" w:rsidRDefault="00861A6B" w:rsidP="00861A6B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90" w:type="dxa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graditi radi uređenja neuređenih dijelova građevinskog područja</w:t>
            </w:r>
          </w:p>
        </w:tc>
        <w:tc>
          <w:tcPr>
            <w:tcW w:w="1958" w:type="dxa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93" w:type="dxa"/>
          </w:tcPr>
          <w:p w:rsidR="00861A6B" w:rsidRPr="003D7E1A" w:rsidRDefault="0070640C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861A6B" w:rsidRPr="003D7E1A" w:rsidTr="00861A6B">
        <w:tc>
          <w:tcPr>
            <w:tcW w:w="750" w:type="dxa"/>
          </w:tcPr>
          <w:p w:rsidR="00861A6B" w:rsidRPr="003D7E1A" w:rsidRDefault="00861A6B" w:rsidP="00861A6B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90" w:type="dxa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graditi izvan građevinskog područja</w:t>
            </w:r>
          </w:p>
        </w:tc>
        <w:tc>
          <w:tcPr>
            <w:tcW w:w="1958" w:type="dxa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93" w:type="dxa"/>
          </w:tcPr>
          <w:p w:rsidR="00861A6B" w:rsidRPr="003D7E1A" w:rsidRDefault="0070640C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861A6B" w:rsidRPr="003D7E1A" w:rsidTr="00861A6B">
        <w:tc>
          <w:tcPr>
            <w:tcW w:w="750" w:type="dxa"/>
          </w:tcPr>
          <w:p w:rsidR="00861A6B" w:rsidRPr="003D7E1A" w:rsidRDefault="00861A6B" w:rsidP="00861A6B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90" w:type="dxa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uklanjati</w:t>
            </w:r>
          </w:p>
        </w:tc>
        <w:tc>
          <w:tcPr>
            <w:tcW w:w="1958" w:type="dxa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93" w:type="dxa"/>
          </w:tcPr>
          <w:p w:rsidR="00861A6B" w:rsidRPr="003D7E1A" w:rsidRDefault="0070640C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861A6B" w:rsidRPr="003D7E1A" w:rsidTr="00861A6B">
        <w:tc>
          <w:tcPr>
            <w:tcW w:w="750" w:type="dxa"/>
            <w:shd w:val="clear" w:color="auto" w:fill="F2F2F2"/>
          </w:tcPr>
          <w:p w:rsidR="00861A6B" w:rsidRPr="003D7E1A" w:rsidRDefault="00861A6B" w:rsidP="00CE7161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890" w:type="dxa"/>
            <w:shd w:val="clear" w:color="auto" w:fill="F2F2F2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b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b/>
                <w:color w:val="231F20"/>
                <w:lang w:val="hr-HR" w:eastAsia="hr-HR"/>
              </w:rPr>
              <w:t xml:space="preserve">UKUPNO </w:t>
            </w:r>
          </w:p>
        </w:tc>
        <w:tc>
          <w:tcPr>
            <w:tcW w:w="1958" w:type="dxa"/>
            <w:shd w:val="clear" w:color="auto" w:fill="F2F2F2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1.470.337,70</w:t>
            </w:r>
          </w:p>
        </w:tc>
        <w:tc>
          <w:tcPr>
            <w:tcW w:w="1893" w:type="dxa"/>
            <w:shd w:val="clear" w:color="auto" w:fill="F2F2F2"/>
          </w:tcPr>
          <w:p w:rsidR="00861A6B" w:rsidRPr="003D7E1A" w:rsidRDefault="0070640C" w:rsidP="00CE7161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594.549,62</w:t>
            </w:r>
          </w:p>
        </w:tc>
      </w:tr>
    </w:tbl>
    <w:p w:rsidR="00CE7161" w:rsidRDefault="00CE7161" w:rsidP="00CE7161">
      <w:pPr>
        <w:jc w:val="both"/>
        <w:rPr>
          <w:rFonts w:ascii="Times New Roman" w:hAnsi="Times New Roman"/>
          <w:b/>
          <w:lang w:val="hr-HR"/>
        </w:rPr>
      </w:pPr>
    </w:p>
    <w:p w:rsidR="00CE7161" w:rsidRDefault="00CE7161" w:rsidP="00CE7161">
      <w:pPr>
        <w:jc w:val="both"/>
        <w:rPr>
          <w:rFonts w:ascii="Times New Roman" w:hAnsi="Times New Roman"/>
          <w:b/>
          <w:lang w:val="hr-HR"/>
        </w:rPr>
      </w:pPr>
    </w:p>
    <w:p w:rsidR="00CE7161" w:rsidRDefault="00CE7161" w:rsidP="00CE7161">
      <w:pPr>
        <w:jc w:val="both"/>
        <w:rPr>
          <w:rFonts w:ascii="Times New Roman" w:hAnsi="Times New Roman"/>
          <w:b/>
          <w:lang w:val="hr-HR"/>
        </w:rPr>
      </w:pPr>
    </w:p>
    <w:p w:rsidR="00CE7161" w:rsidRDefault="00CE7161" w:rsidP="00CE7161">
      <w:pPr>
        <w:jc w:val="both"/>
        <w:rPr>
          <w:rFonts w:ascii="Times New Roman" w:hAnsi="Times New Roman"/>
          <w:b/>
          <w:lang w:val="hr-HR"/>
        </w:rPr>
      </w:pPr>
    </w:p>
    <w:p w:rsidR="00CE7161" w:rsidRDefault="00CE7161" w:rsidP="00CE7161">
      <w:pPr>
        <w:jc w:val="both"/>
        <w:rPr>
          <w:rFonts w:ascii="Times New Roman" w:hAnsi="Times New Roman"/>
          <w:b/>
          <w:lang w:val="hr-HR"/>
        </w:rPr>
      </w:pPr>
    </w:p>
    <w:p w:rsidR="00CE7161" w:rsidRDefault="00CE7161" w:rsidP="00CE7161">
      <w:pPr>
        <w:jc w:val="both"/>
        <w:rPr>
          <w:rFonts w:ascii="Times New Roman" w:hAnsi="Times New Roman"/>
          <w:b/>
          <w:lang w:val="hr-HR"/>
        </w:rPr>
      </w:pPr>
    </w:p>
    <w:p w:rsidR="00CE7161" w:rsidRDefault="00CE7161" w:rsidP="00CE7161">
      <w:pPr>
        <w:jc w:val="both"/>
        <w:rPr>
          <w:rFonts w:ascii="Times New Roman" w:hAnsi="Times New Roman"/>
          <w:b/>
          <w:lang w:val="hr-HR"/>
        </w:rPr>
      </w:pPr>
    </w:p>
    <w:p w:rsidR="00CE7161" w:rsidRPr="003D7E1A" w:rsidRDefault="00CE7161" w:rsidP="00CE7161">
      <w:pPr>
        <w:jc w:val="both"/>
        <w:rPr>
          <w:rFonts w:ascii="Times New Roman" w:hAnsi="Times New Roman"/>
          <w:b/>
          <w:lang w:val="hr-HR"/>
        </w:rPr>
      </w:pPr>
    </w:p>
    <w:p w:rsidR="00CE7161" w:rsidRPr="003D7E1A" w:rsidRDefault="00CE7161" w:rsidP="00CE7161">
      <w:pPr>
        <w:jc w:val="both"/>
        <w:rPr>
          <w:rFonts w:ascii="Times New Roman" w:hAnsi="Times New Roman"/>
          <w:b/>
          <w:lang w:val="hr-HR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921"/>
        <w:gridCol w:w="1985"/>
        <w:gridCol w:w="1842"/>
      </w:tblGrid>
      <w:tr w:rsidR="00861A6B" w:rsidRPr="003D7E1A" w:rsidTr="00861A6B">
        <w:tc>
          <w:tcPr>
            <w:tcW w:w="750" w:type="dxa"/>
            <w:shd w:val="clear" w:color="auto" w:fill="F2F2F2"/>
          </w:tcPr>
          <w:p w:rsidR="00861A6B" w:rsidRPr="003D7E1A" w:rsidRDefault="00861A6B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4921" w:type="dxa"/>
            <w:shd w:val="clear" w:color="auto" w:fill="F2F2F2"/>
          </w:tcPr>
          <w:p w:rsidR="00861A6B" w:rsidRPr="003D7E1A" w:rsidRDefault="00861A6B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1985" w:type="dxa"/>
            <w:shd w:val="clear" w:color="auto" w:fill="F2F2F2"/>
          </w:tcPr>
          <w:p w:rsidR="00861A6B" w:rsidRPr="003D7E1A" w:rsidRDefault="00861A6B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iznos u kunama</w:t>
            </w:r>
          </w:p>
        </w:tc>
        <w:tc>
          <w:tcPr>
            <w:tcW w:w="1842" w:type="dxa"/>
            <w:shd w:val="clear" w:color="auto" w:fill="F2F2F2"/>
          </w:tcPr>
          <w:p w:rsidR="00861A6B" w:rsidRPr="003D7E1A" w:rsidRDefault="00861A6B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Izvršeni iznos u kunama</w:t>
            </w:r>
          </w:p>
        </w:tc>
      </w:tr>
      <w:tr w:rsidR="00861A6B" w:rsidRPr="003D7E1A" w:rsidTr="00861A6B">
        <w:tc>
          <w:tcPr>
            <w:tcW w:w="750" w:type="dxa"/>
          </w:tcPr>
          <w:p w:rsidR="00861A6B" w:rsidRPr="003D7E1A" w:rsidRDefault="00861A6B" w:rsidP="00861A6B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21" w:type="dxa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Proračun Općine Vladislavci</w:t>
            </w:r>
          </w:p>
        </w:tc>
        <w:tc>
          <w:tcPr>
            <w:tcW w:w="1985" w:type="dxa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478.573,70</w:t>
            </w:r>
          </w:p>
        </w:tc>
        <w:tc>
          <w:tcPr>
            <w:tcW w:w="1842" w:type="dxa"/>
          </w:tcPr>
          <w:p w:rsidR="00861A6B" w:rsidRPr="003D7E1A" w:rsidRDefault="0021306B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146.922,32</w:t>
            </w:r>
          </w:p>
        </w:tc>
      </w:tr>
      <w:tr w:rsidR="00861A6B" w:rsidRPr="003D7E1A" w:rsidTr="00861A6B">
        <w:tc>
          <w:tcPr>
            <w:tcW w:w="750" w:type="dxa"/>
          </w:tcPr>
          <w:p w:rsidR="00861A6B" w:rsidRPr="003D7E1A" w:rsidRDefault="00861A6B" w:rsidP="00861A6B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21" w:type="dxa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 xml:space="preserve">Proračun Općine Vladislavci – komunalna naknada </w:t>
            </w:r>
          </w:p>
        </w:tc>
        <w:tc>
          <w:tcPr>
            <w:tcW w:w="1985" w:type="dxa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113.063,00</w:t>
            </w:r>
          </w:p>
        </w:tc>
        <w:tc>
          <w:tcPr>
            <w:tcW w:w="1842" w:type="dxa"/>
          </w:tcPr>
          <w:p w:rsidR="00861A6B" w:rsidRPr="003D7E1A" w:rsidRDefault="0070640C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113.063,00</w:t>
            </w:r>
          </w:p>
        </w:tc>
      </w:tr>
      <w:tr w:rsidR="00861A6B" w:rsidRPr="003D7E1A" w:rsidTr="00861A6B">
        <w:tc>
          <w:tcPr>
            <w:tcW w:w="750" w:type="dxa"/>
          </w:tcPr>
          <w:p w:rsidR="00861A6B" w:rsidRPr="003D7E1A" w:rsidRDefault="00861A6B" w:rsidP="00861A6B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21" w:type="dxa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Proračun Općine Vladislavci – komunalni doprinos</w:t>
            </w:r>
          </w:p>
        </w:tc>
        <w:tc>
          <w:tcPr>
            <w:tcW w:w="1985" w:type="dxa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842" w:type="dxa"/>
          </w:tcPr>
          <w:p w:rsidR="00861A6B" w:rsidRPr="003D7E1A" w:rsidRDefault="0070640C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861A6B" w:rsidRPr="003D7E1A" w:rsidTr="00861A6B">
        <w:tc>
          <w:tcPr>
            <w:tcW w:w="750" w:type="dxa"/>
          </w:tcPr>
          <w:p w:rsidR="00861A6B" w:rsidRPr="003D7E1A" w:rsidRDefault="00861A6B" w:rsidP="00861A6B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21" w:type="dxa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Proračun Općine Vladislavci – naknada za legalizaciju</w:t>
            </w:r>
          </w:p>
        </w:tc>
        <w:tc>
          <w:tcPr>
            <w:tcW w:w="1985" w:type="dxa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842" w:type="dxa"/>
          </w:tcPr>
          <w:p w:rsidR="00861A6B" w:rsidRPr="003D7E1A" w:rsidRDefault="0070640C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861A6B" w:rsidRPr="003D7E1A" w:rsidTr="00861A6B">
        <w:tc>
          <w:tcPr>
            <w:tcW w:w="750" w:type="dxa"/>
          </w:tcPr>
          <w:p w:rsidR="00861A6B" w:rsidRPr="003D7E1A" w:rsidRDefault="00861A6B" w:rsidP="00861A6B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21" w:type="dxa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Proračun Osječko-baranjske županije 2018.</w:t>
            </w:r>
          </w:p>
        </w:tc>
        <w:tc>
          <w:tcPr>
            <w:tcW w:w="1985" w:type="dxa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400.000,00</w:t>
            </w:r>
          </w:p>
        </w:tc>
        <w:tc>
          <w:tcPr>
            <w:tcW w:w="1842" w:type="dxa"/>
          </w:tcPr>
          <w:p w:rsidR="00861A6B" w:rsidRPr="003D7E1A" w:rsidRDefault="0070640C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861A6B" w:rsidRPr="003D7E1A" w:rsidTr="00861A6B">
        <w:tc>
          <w:tcPr>
            <w:tcW w:w="750" w:type="dxa"/>
          </w:tcPr>
          <w:p w:rsidR="00861A6B" w:rsidRPr="003D7E1A" w:rsidRDefault="00861A6B" w:rsidP="00861A6B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21" w:type="dxa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Državni proračun RH</w:t>
            </w:r>
          </w:p>
        </w:tc>
        <w:tc>
          <w:tcPr>
            <w:tcW w:w="1985" w:type="dxa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338.701,00</w:t>
            </w:r>
          </w:p>
        </w:tc>
        <w:tc>
          <w:tcPr>
            <w:tcW w:w="1842" w:type="dxa"/>
          </w:tcPr>
          <w:p w:rsidR="00861A6B" w:rsidRPr="003D7E1A" w:rsidRDefault="0070640C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334.564,30</w:t>
            </w:r>
          </w:p>
        </w:tc>
      </w:tr>
      <w:tr w:rsidR="00861A6B" w:rsidRPr="003D7E1A" w:rsidTr="00861A6B">
        <w:tc>
          <w:tcPr>
            <w:tcW w:w="750" w:type="dxa"/>
          </w:tcPr>
          <w:p w:rsidR="00861A6B" w:rsidRPr="003D7E1A" w:rsidRDefault="00861A6B" w:rsidP="00861A6B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21" w:type="dxa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 xml:space="preserve">Sredstva iz EU fondova </w:t>
            </w:r>
          </w:p>
        </w:tc>
        <w:tc>
          <w:tcPr>
            <w:tcW w:w="1985" w:type="dxa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120.000,00</w:t>
            </w:r>
          </w:p>
        </w:tc>
        <w:tc>
          <w:tcPr>
            <w:tcW w:w="1842" w:type="dxa"/>
          </w:tcPr>
          <w:p w:rsidR="00861A6B" w:rsidRPr="003D7E1A" w:rsidRDefault="0070640C" w:rsidP="00CE7161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861A6B" w:rsidRPr="003D7E1A" w:rsidTr="00861A6B">
        <w:tc>
          <w:tcPr>
            <w:tcW w:w="750" w:type="dxa"/>
            <w:shd w:val="clear" w:color="auto" w:fill="F2F2F2"/>
          </w:tcPr>
          <w:p w:rsidR="00861A6B" w:rsidRPr="003D7E1A" w:rsidRDefault="00861A6B" w:rsidP="00CE7161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921" w:type="dxa"/>
            <w:shd w:val="clear" w:color="auto" w:fill="F2F2F2"/>
          </w:tcPr>
          <w:p w:rsidR="00861A6B" w:rsidRPr="003D7E1A" w:rsidRDefault="00861A6B" w:rsidP="00CE7161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b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b/>
                <w:color w:val="231F20"/>
                <w:lang w:val="hr-HR" w:eastAsia="hr-HR"/>
              </w:rPr>
              <w:t xml:space="preserve">UKUPNO </w:t>
            </w:r>
          </w:p>
        </w:tc>
        <w:tc>
          <w:tcPr>
            <w:tcW w:w="1985" w:type="dxa"/>
            <w:shd w:val="clear" w:color="auto" w:fill="F2F2F2"/>
          </w:tcPr>
          <w:p w:rsidR="00861A6B" w:rsidRPr="003D7E1A" w:rsidRDefault="00861A6B" w:rsidP="00CE7161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1.470.337,70</w:t>
            </w:r>
          </w:p>
        </w:tc>
        <w:tc>
          <w:tcPr>
            <w:tcW w:w="1842" w:type="dxa"/>
            <w:shd w:val="clear" w:color="auto" w:fill="F2F2F2"/>
          </w:tcPr>
          <w:p w:rsidR="00861A6B" w:rsidRPr="003D7E1A" w:rsidRDefault="0021306B" w:rsidP="00CE7161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594.549,62</w:t>
            </w:r>
          </w:p>
        </w:tc>
      </w:tr>
    </w:tbl>
    <w:p w:rsidR="00CE7161" w:rsidRPr="003D7E1A" w:rsidRDefault="00CE7161" w:rsidP="00CE7161">
      <w:pPr>
        <w:jc w:val="both"/>
        <w:rPr>
          <w:rFonts w:ascii="Times New Roman" w:hAnsi="Times New Roman"/>
          <w:b/>
          <w:lang w:val="hr-HR"/>
        </w:rPr>
      </w:pPr>
    </w:p>
    <w:p w:rsidR="00CE7161" w:rsidRPr="003D7E1A" w:rsidRDefault="00CE7161" w:rsidP="00CE7161">
      <w:pPr>
        <w:jc w:val="both"/>
        <w:rPr>
          <w:rFonts w:ascii="Times New Roman" w:hAnsi="Times New Roman"/>
          <w:b/>
          <w:lang w:val="hr-HR"/>
        </w:rPr>
      </w:pPr>
    </w:p>
    <w:p w:rsidR="009F463C" w:rsidRDefault="009F463C" w:rsidP="000829D0">
      <w:pPr>
        <w:pStyle w:val="Tijeloteksta"/>
        <w:rPr>
          <w:rFonts w:ascii="Times New Roman" w:hAnsi="Times New Roman"/>
          <w:lang w:val="hr-HR"/>
        </w:rPr>
      </w:pPr>
    </w:p>
    <w:p w:rsidR="009F463C" w:rsidRPr="00725DB5" w:rsidRDefault="00AD5338" w:rsidP="00AD5338">
      <w:pPr>
        <w:pStyle w:val="Tijeloteksta"/>
        <w:ind w:left="360"/>
        <w:jc w:val="center"/>
        <w:rPr>
          <w:rFonts w:ascii="Times New Roman" w:hAnsi="Times New Roman"/>
          <w:b/>
          <w:lang w:val="hr-HR"/>
        </w:rPr>
      </w:pPr>
      <w:r w:rsidRPr="00725DB5">
        <w:rPr>
          <w:rFonts w:ascii="Times New Roman" w:hAnsi="Times New Roman"/>
          <w:b/>
          <w:lang w:val="hr-HR"/>
        </w:rPr>
        <w:t>III.</w:t>
      </w:r>
    </w:p>
    <w:p w:rsidR="009F463C" w:rsidRPr="009F463C" w:rsidRDefault="009F463C" w:rsidP="000829D0">
      <w:pPr>
        <w:pStyle w:val="Tijeloteksta"/>
        <w:rPr>
          <w:rFonts w:ascii="Times New Roman" w:hAnsi="Times New Roman"/>
          <w:lang w:val="hr-HR"/>
        </w:rPr>
      </w:pPr>
    </w:p>
    <w:p w:rsidR="000829D0" w:rsidRPr="00AD5338" w:rsidRDefault="00AD5338" w:rsidP="00AD533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AD5338" w:rsidRPr="00F408E2" w:rsidRDefault="00AD5338" w:rsidP="00F23B79">
      <w:pPr>
        <w:rPr>
          <w:rFonts w:ascii="Times New Roman" w:hAnsi="Times New Roman"/>
          <w:b/>
          <w:lang w:val="hr-HR"/>
        </w:rPr>
      </w:pPr>
    </w:p>
    <w:p w:rsidR="00901A07" w:rsidRPr="003D7E1A" w:rsidRDefault="00901A07" w:rsidP="00901A07">
      <w:pPr>
        <w:jc w:val="both"/>
        <w:rPr>
          <w:rFonts w:ascii="Times New Roman" w:hAnsi="Times New Roman"/>
          <w:lang w:val="hr-HR"/>
        </w:rPr>
      </w:pPr>
      <w:r w:rsidRPr="003D7E1A">
        <w:rPr>
          <w:rFonts w:ascii="Times New Roman" w:hAnsi="Times New Roman"/>
          <w:lang w:val="x-none"/>
        </w:rPr>
        <w:t xml:space="preserve">Klasa: </w:t>
      </w:r>
      <w:r w:rsidRPr="003D7E1A">
        <w:rPr>
          <w:rFonts w:ascii="Times New Roman" w:hAnsi="Times New Roman"/>
          <w:lang w:val="hr-HR"/>
        </w:rPr>
        <w:t>363-02/18-18/4</w:t>
      </w:r>
    </w:p>
    <w:p w:rsidR="00901A07" w:rsidRPr="003D7E1A" w:rsidRDefault="00901A07" w:rsidP="00901A07">
      <w:pPr>
        <w:jc w:val="both"/>
        <w:rPr>
          <w:rFonts w:ascii="Times New Roman" w:hAnsi="Times New Roman"/>
          <w:lang w:val="sv-SE"/>
        </w:rPr>
      </w:pPr>
      <w:r w:rsidRPr="003D7E1A">
        <w:rPr>
          <w:rFonts w:ascii="Times New Roman" w:hAnsi="Times New Roman"/>
          <w:lang w:val="sv-SE"/>
        </w:rPr>
        <w:t>Urbroj: 2158/07-0</w:t>
      </w:r>
      <w:r>
        <w:rPr>
          <w:rFonts w:ascii="Times New Roman" w:hAnsi="Times New Roman"/>
          <w:lang w:val="sv-SE"/>
        </w:rPr>
        <w:t>2</w:t>
      </w:r>
      <w:r w:rsidRPr="003D7E1A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20</w:t>
      </w:r>
      <w:r w:rsidRPr="003D7E1A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9</w:t>
      </w:r>
    </w:p>
    <w:p w:rsidR="000829D0" w:rsidRPr="000829D0" w:rsidRDefault="000829D0" w:rsidP="000829D0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AD5338">
        <w:rPr>
          <w:rFonts w:ascii="Times New Roman" w:hAnsi="Times New Roman"/>
          <w:lang w:val="sv-SE"/>
        </w:rPr>
        <w:t>2</w:t>
      </w:r>
      <w:r w:rsidR="00901A07">
        <w:rPr>
          <w:rFonts w:ascii="Times New Roman" w:hAnsi="Times New Roman"/>
          <w:lang w:val="sv-SE"/>
        </w:rPr>
        <w:t>5</w:t>
      </w:r>
      <w:r w:rsidR="00AD5338">
        <w:rPr>
          <w:rFonts w:ascii="Times New Roman" w:hAnsi="Times New Roman"/>
          <w:lang w:val="sv-SE"/>
        </w:rPr>
        <w:t xml:space="preserve">. svibnja </w:t>
      </w:r>
      <w:r w:rsidRPr="000829D0">
        <w:rPr>
          <w:rFonts w:ascii="Times New Roman" w:hAnsi="Times New Roman"/>
          <w:lang w:val="sv-SE"/>
        </w:rPr>
        <w:t>20</w:t>
      </w:r>
      <w:r w:rsidR="00901A07">
        <w:rPr>
          <w:rFonts w:ascii="Times New Roman" w:hAnsi="Times New Roman"/>
          <w:lang w:val="sv-SE"/>
        </w:rPr>
        <w:t>20</w:t>
      </w:r>
      <w:r w:rsidRPr="000829D0">
        <w:rPr>
          <w:rFonts w:ascii="Times New Roman" w:hAnsi="Times New Roman"/>
          <w:lang w:val="sv-SE"/>
        </w:rPr>
        <w:t>.</w:t>
      </w:r>
    </w:p>
    <w:p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Pr="00AD5338" w:rsidRDefault="00AD533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>Općinski načelnik</w:t>
      </w:r>
    </w:p>
    <w:p w:rsidR="005C7E14" w:rsidRDefault="00AD533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Marjan Tomas </w:t>
      </w:r>
    </w:p>
    <w:sectPr w:rsidR="005C7E14" w:rsidSect="00D40880">
      <w:footerReference w:type="even" r:id="rId7"/>
      <w:pgSz w:w="11906" w:h="16838" w:code="9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71" w:rsidRDefault="00897371">
      <w:r>
        <w:separator/>
      </w:r>
    </w:p>
  </w:endnote>
  <w:endnote w:type="continuationSeparator" w:id="0">
    <w:p w:rsidR="00897371" w:rsidRDefault="0089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61" w:rsidRDefault="00CE7161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7161" w:rsidRDefault="00CE71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71" w:rsidRDefault="00897371">
      <w:r>
        <w:separator/>
      </w:r>
    </w:p>
  </w:footnote>
  <w:footnote w:type="continuationSeparator" w:id="0">
    <w:p w:rsidR="00897371" w:rsidRDefault="0089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79F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64F"/>
    <w:multiLevelType w:val="hybridMultilevel"/>
    <w:tmpl w:val="B2F4E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6505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900D93"/>
    <w:multiLevelType w:val="hybridMultilevel"/>
    <w:tmpl w:val="8EAE1C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5CD2"/>
    <w:multiLevelType w:val="hybridMultilevel"/>
    <w:tmpl w:val="1B445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F2194"/>
    <w:multiLevelType w:val="hybridMultilevel"/>
    <w:tmpl w:val="DF484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167E7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F2DAB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1EBD"/>
    <w:multiLevelType w:val="hybridMultilevel"/>
    <w:tmpl w:val="569E8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D318D"/>
    <w:multiLevelType w:val="hybridMultilevel"/>
    <w:tmpl w:val="DF484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27BFB"/>
    <w:multiLevelType w:val="hybridMultilevel"/>
    <w:tmpl w:val="1B445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05661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56E75"/>
    <w:multiLevelType w:val="hybridMultilevel"/>
    <w:tmpl w:val="1B445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F44BF2"/>
    <w:multiLevelType w:val="hybridMultilevel"/>
    <w:tmpl w:val="6D1C2894"/>
    <w:lvl w:ilvl="0" w:tplc="05B2D7B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44CB0"/>
    <w:multiLevelType w:val="hybridMultilevel"/>
    <w:tmpl w:val="97B45094"/>
    <w:lvl w:ilvl="0" w:tplc="05B2D7B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4" w:hanging="360"/>
      </w:pPr>
    </w:lvl>
    <w:lvl w:ilvl="2" w:tplc="041A001B" w:tentative="1">
      <w:start w:val="1"/>
      <w:numFmt w:val="lowerRoman"/>
      <w:lvlText w:val="%3."/>
      <w:lvlJc w:val="right"/>
      <w:pPr>
        <w:ind w:left="2004" w:hanging="180"/>
      </w:pPr>
    </w:lvl>
    <w:lvl w:ilvl="3" w:tplc="041A000F" w:tentative="1">
      <w:start w:val="1"/>
      <w:numFmt w:val="decimal"/>
      <w:lvlText w:val="%4."/>
      <w:lvlJc w:val="left"/>
      <w:pPr>
        <w:ind w:left="2724" w:hanging="360"/>
      </w:pPr>
    </w:lvl>
    <w:lvl w:ilvl="4" w:tplc="041A0019" w:tentative="1">
      <w:start w:val="1"/>
      <w:numFmt w:val="lowerLetter"/>
      <w:lvlText w:val="%5."/>
      <w:lvlJc w:val="left"/>
      <w:pPr>
        <w:ind w:left="3444" w:hanging="360"/>
      </w:pPr>
    </w:lvl>
    <w:lvl w:ilvl="5" w:tplc="041A001B" w:tentative="1">
      <w:start w:val="1"/>
      <w:numFmt w:val="lowerRoman"/>
      <w:lvlText w:val="%6."/>
      <w:lvlJc w:val="right"/>
      <w:pPr>
        <w:ind w:left="4164" w:hanging="180"/>
      </w:pPr>
    </w:lvl>
    <w:lvl w:ilvl="6" w:tplc="041A000F" w:tentative="1">
      <w:start w:val="1"/>
      <w:numFmt w:val="decimal"/>
      <w:lvlText w:val="%7."/>
      <w:lvlJc w:val="left"/>
      <w:pPr>
        <w:ind w:left="4884" w:hanging="360"/>
      </w:pPr>
    </w:lvl>
    <w:lvl w:ilvl="7" w:tplc="041A0019" w:tentative="1">
      <w:start w:val="1"/>
      <w:numFmt w:val="lowerLetter"/>
      <w:lvlText w:val="%8."/>
      <w:lvlJc w:val="left"/>
      <w:pPr>
        <w:ind w:left="5604" w:hanging="360"/>
      </w:pPr>
    </w:lvl>
    <w:lvl w:ilvl="8" w:tplc="041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4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21C70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905DE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34"/>
  </w:num>
  <w:num w:numId="4">
    <w:abstractNumId w:val="11"/>
  </w:num>
  <w:num w:numId="5">
    <w:abstractNumId w:val="0"/>
  </w:num>
  <w:num w:numId="6">
    <w:abstractNumId w:val="9"/>
  </w:num>
  <w:num w:numId="7">
    <w:abstractNumId w:val="32"/>
  </w:num>
  <w:num w:numId="8">
    <w:abstractNumId w:val="13"/>
  </w:num>
  <w:num w:numId="9">
    <w:abstractNumId w:val="22"/>
  </w:num>
  <w:num w:numId="10">
    <w:abstractNumId w:val="4"/>
  </w:num>
  <w:num w:numId="11">
    <w:abstractNumId w:val="3"/>
  </w:num>
  <w:num w:numId="12">
    <w:abstractNumId w:val="20"/>
  </w:num>
  <w:num w:numId="13">
    <w:abstractNumId w:val="28"/>
  </w:num>
  <w:num w:numId="14">
    <w:abstractNumId w:val="35"/>
  </w:num>
  <w:num w:numId="15">
    <w:abstractNumId w:val="5"/>
  </w:num>
  <w:num w:numId="16">
    <w:abstractNumId w:val="8"/>
  </w:num>
  <w:num w:numId="17">
    <w:abstractNumId w:val="7"/>
  </w:num>
  <w:num w:numId="18">
    <w:abstractNumId w:val="12"/>
  </w:num>
  <w:num w:numId="19">
    <w:abstractNumId w:val="10"/>
  </w:num>
  <w:num w:numId="20">
    <w:abstractNumId w:val="36"/>
  </w:num>
  <w:num w:numId="21">
    <w:abstractNumId w:val="1"/>
  </w:num>
  <w:num w:numId="22">
    <w:abstractNumId w:val="21"/>
  </w:num>
  <w:num w:numId="23">
    <w:abstractNumId w:val="2"/>
  </w:num>
  <w:num w:numId="24">
    <w:abstractNumId w:val="37"/>
  </w:num>
  <w:num w:numId="25">
    <w:abstractNumId w:val="23"/>
  </w:num>
  <w:num w:numId="26">
    <w:abstractNumId w:val="24"/>
  </w:num>
  <w:num w:numId="27">
    <w:abstractNumId w:val="26"/>
  </w:num>
  <w:num w:numId="28">
    <w:abstractNumId w:val="16"/>
  </w:num>
  <w:num w:numId="29">
    <w:abstractNumId w:val="33"/>
  </w:num>
  <w:num w:numId="30">
    <w:abstractNumId w:val="31"/>
  </w:num>
  <w:num w:numId="31">
    <w:abstractNumId w:val="29"/>
  </w:num>
  <w:num w:numId="32">
    <w:abstractNumId w:val="17"/>
  </w:num>
  <w:num w:numId="33">
    <w:abstractNumId w:val="27"/>
  </w:num>
  <w:num w:numId="34">
    <w:abstractNumId w:val="25"/>
  </w:num>
  <w:num w:numId="35">
    <w:abstractNumId w:val="15"/>
  </w:num>
  <w:num w:numId="36">
    <w:abstractNumId w:val="14"/>
  </w:num>
  <w:num w:numId="37">
    <w:abstractNumId w:val="1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14CF4"/>
    <w:rsid w:val="00074EFA"/>
    <w:rsid w:val="00075460"/>
    <w:rsid w:val="00082799"/>
    <w:rsid w:val="000829D0"/>
    <w:rsid w:val="000C0A3A"/>
    <w:rsid w:val="000C3FA4"/>
    <w:rsid w:val="000F51D3"/>
    <w:rsid w:val="001329FC"/>
    <w:rsid w:val="0013765C"/>
    <w:rsid w:val="00137AFE"/>
    <w:rsid w:val="00137DA5"/>
    <w:rsid w:val="00145DC9"/>
    <w:rsid w:val="001601A1"/>
    <w:rsid w:val="001602B7"/>
    <w:rsid w:val="001605F4"/>
    <w:rsid w:val="00170E29"/>
    <w:rsid w:val="00180A7A"/>
    <w:rsid w:val="001961A8"/>
    <w:rsid w:val="001A09B9"/>
    <w:rsid w:val="001A2BF6"/>
    <w:rsid w:val="001B71A1"/>
    <w:rsid w:val="001C0DE7"/>
    <w:rsid w:val="001C5F7D"/>
    <w:rsid w:val="001D5895"/>
    <w:rsid w:val="001D7A83"/>
    <w:rsid w:val="00207043"/>
    <w:rsid w:val="0021306B"/>
    <w:rsid w:val="00217799"/>
    <w:rsid w:val="002229C6"/>
    <w:rsid w:val="002507A5"/>
    <w:rsid w:val="0025716B"/>
    <w:rsid w:val="00261083"/>
    <w:rsid w:val="002A15BE"/>
    <w:rsid w:val="002A5662"/>
    <w:rsid w:val="002A6CE3"/>
    <w:rsid w:val="002B022F"/>
    <w:rsid w:val="002B44D7"/>
    <w:rsid w:val="00301110"/>
    <w:rsid w:val="00301A1D"/>
    <w:rsid w:val="00320340"/>
    <w:rsid w:val="00321094"/>
    <w:rsid w:val="00326AD5"/>
    <w:rsid w:val="003317D4"/>
    <w:rsid w:val="00350A82"/>
    <w:rsid w:val="003642D3"/>
    <w:rsid w:val="003643AF"/>
    <w:rsid w:val="003723E6"/>
    <w:rsid w:val="0037313E"/>
    <w:rsid w:val="00381D79"/>
    <w:rsid w:val="00394AC2"/>
    <w:rsid w:val="003A1A22"/>
    <w:rsid w:val="003B04C1"/>
    <w:rsid w:val="003C048F"/>
    <w:rsid w:val="003C18C4"/>
    <w:rsid w:val="003D27E1"/>
    <w:rsid w:val="003D4D76"/>
    <w:rsid w:val="003D5743"/>
    <w:rsid w:val="003D7E1A"/>
    <w:rsid w:val="003E07F0"/>
    <w:rsid w:val="003E3425"/>
    <w:rsid w:val="003E4AC8"/>
    <w:rsid w:val="0040402C"/>
    <w:rsid w:val="00410BD2"/>
    <w:rsid w:val="004416B9"/>
    <w:rsid w:val="00451895"/>
    <w:rsid w:val="00474EEA"/>
    <w:rsid w:val="00475360"/>
    <w:rsid w:val="004B305D"/>
    <w:rsid w:val="004B5640"/>
    <w:rsid w:val="004B7236"/>
    <w:rsid w:val="004D3223"/>
    <w:rsid w:val="004F0186"/>
    <w:rsid w:val="004F2557"/>
    <w:rsid w:val="00503DF8"/>
    <w:rsid w:val="00515750"/>
    <w:rsid w:val="00524A88"/>
    <w:rsid w:val="00527BD1"/>
    <w:rsid w:val="005505F8"/>
    <w:rsid w:val="005515C6"/>
    <w:rsid w:val="00563553"/>
    <w:rsid w:val="005C4115"/>
    <w:rsid w:val="005C5185"/>
    <w:rsid w:val="005C7E14"/>
    <w:rsid w:val="005D5EC2"/>
    <w:rsid w:val="005D69ED"/>
    <w:rsid w:val="005D7F50"/>
    <w:rsid w:val="005F042A"/>
    <w:rsid w:val="006020B9"/>
    <w:rsid w:val="006057D2"/>
    <w:rsid w:val="00606390"/>
    <w:rsid w:val="00617DE1"/>
    <w:rsid w:val="0066716E"/>
    <w:rsid w:val="00671208"/>
    <w:rsid w:val="00675311"/>
    <w:rsid w:val="00687359"/>
    <w:rsid w:val="006A1156"/>
    <w:rsid w:val="006B3EFD"/>
    <w:rsid w:val="006C3AD3"/>
    <w:rsid w:val="006C4207"/>
    <w:rsid w:val="006D2597"/>
    <w:rsid w:val="006E6431"/>
    <w:rsid w:val="006E7866"/>
    <w:rsid w:val="006F23FD"/>
    <w:rsid w:val="0070640C"/>
    <w:rsid w:val="007147C5"/>
    <w:rsid w:val="00725DB5"/>
    <w:rsid w:val="00741118"/>
    <w:rsid w:val="007455DF"/>
    <w:rsid w:val="00752294"/>
    <w:rsid w:val="0075309B"/>
    <w:rsid w:val="00753A48"/>
    <w:rsid w:val="00764344"/>
    <w:rsid w:val="00772249"/>
    <w:rsid w:val="00772BB8"/>
    <w:rsid w:val="007734DE"/>
    <w:rsid w:val="007741F8"/>
    <w:rsid w:val="00787430"/>
    <w:rsid w:val="007915EE"/>
    <w:rsid w:val="00793D6A"/>
    <w:rsid w:val="007A2527"/>
    <w:rsid w:val="007A50B2"/>
    <w:rsid w:val="007B0E82"/>
    <w:rsid w:val="007C6452"/>
    <w:rsid w:val="007C6A0A"/>
    <w:rsid w:val="00800E62"/>
    <w:rsid w:val="0081022A"/>
    <w:rsid w:val="00812C3B"/>
    <w:rsid w:val="008510E7"/>
    <w:rsid w:val="00856CB5"/>
    <w:rsid w:val="00861A6B"/>
    <w:rsid w:val="00872073"/>
    <w:rsid w:val="008744DC"/>
    <w:rsid w:val="00890F6F"/>
    <w:rsid w:val="00897371"/>
    <w:rsid w:val="008A2778"/>
    <w:rsid w:val="008B2145"/>
    <w:rsid w:val="008E2C1A"/>
    <w:rsid w:val="008E3FE8"/>
    <w:rsid w:val="009009CE"/>
    <w:rsid w:val="00901A07"/>
    <w:rsid w:val="00924918"/>
    <w:rsid w:val="0094330E"/>
    <w:rsid w:val="009454C1"/>
    <w:rsid w:val="00965DBC"/>
    <w:rsid w:val="00966CD8"/>
    <w:rsid w:val="00983400"/>
    <w:rsid w:val="00983E92"/>
    <w:rsid w:val="0098722C"/>
    <w:rsid w:val="009B1F04"/>
    <w:rsid w:val="009C7A79"/>
    <w:rsid w:val="009D4BA9"/>
    <w:rsid w:val="009F463C"/>
    <w:rsid w:val="00A07593"/>
    <w:rsid w:val="00A27CB3"/>
    <w:rsid w:val="00A3215D"/>
    <w:rsid w:val="00A702A0"/>
    <w:rsid w:val="00A70A05"/>
    <w:rsid w:val="00A72C91"/>
    <w:rsid w:val="00A85CB8"/>
    <w:rsid w:val="00A97638"/>
    <w:rsid w:val="00AA21B7"/>
    <w:rsid w:val="00AA388E"/>
    <w:rsid w:val="00AC3986"/>
    <w:rsid w:val="00AD5338"/>
    <w:rsid w:val="00B31BF6"/>
    <w:rsid w:val="00B36E3C"/>
    <w:rsid w:val="00B41FC2"/>
    <w:rsid w:val="00B574E6"/>
    <w:rsid w:val="00B64202"/>
    <w:rsid w:val="00B7314E"/>
    <w:rsid w:val="00B82916"/>
    <w:rsid w:val="00BA5BED"/>
    <w:rsid w:val="00BB6A98"/>
    <w:rsid w:val="00BD46D3"/>
    <w:rsid w:val="00BE127E"/>
    <w:rsid w:val="00BE5E9A"/>
    <w:rsid w:val="00BF0825"/>
    <w:rsid w:val="00BF3C96"/>
    <w:rsid w:val="00C051EA"/>
    <w:rsid w:val="00C1125D"/>
    <w:rsid w:val="00C11D78"/>
    <w:rsid w:val="00C14267"/>
    <w:rsid w:val="00C17423"/>
    <w:rsid w:val="00C471AA"/>
    <w:rsid w:val="00C47975"/>
    <w:rsid w:val="00C5403D"/>
    <w:rsid w:val="00C54587"/>
    <w:rsid w:val="00C84F88"/>
    <w:rsid w:val="00CA0FE7"/>
    <w:rsid w:val="00CA31AC"/>
    <w:rsid w:val="00CA4449"/>
    <w:rsid w:val="00CD45B1"/>
    <w:rsid w:val="00CE7161"/>
    <w:rsid w:val="00D14665"/>
    <w:rsid w:val="00D16B39"/>
    <w:rsid w:val="00D31E82"/>
    <w:rsid w:val="00D3215E"/>
    <w:rsid w:val="00D40880"/>
    <w:rsid w:val="00D477E2"/>
    <w:rsid w:val="00D51E41"/>
    <w:rsid w:val="00D52DE2"/>
    <w:rsid w:val="00D5496C"/>
    <w:rsid w:val="00D5666A"/>
    <w:rsid w:val="00D60CB8"/>
    <w:rsid w:val="00D60D96"/>
    <w:rsid w:val="00D75544"/>
    <w:rsid w:val="00D83685"/>
    <w:rsid w:val="00D83786"/>
    <w:rsid w:val="00D85718"/>
    <w:rsid w:val="00DA218D"/>
    <w:rsid w:val="00DB6488"/>
    <w:rsid w:val="00DD3D19"/>
    <w:rsid w:val="00DD5CD6"/>
    <w:rsid w:val="00DE0193"/>
    <w:rsid w:val="00DE2C53"/>
    <w:rsid w:val="00DF281B"/>
    <w:rsid w:val="00E00738"/>
    <w:rsid w:val="00E11D1A"/>
    <w:rsid w:val="00E20D0C"/>
    <w:rsid w:val="00E2624D"/>
    <w:rsid w:val="00E313D7"/>
    <w:rsid w:val="00E4331B"/>
    <w:rsid w:val="00E91CBC"/>
    <w:rsid w:val="00E9352D"/>
    <w:rsid w:val="00EA2011"/>
    <w:rsid w:val="00EA5AD6"/>
    <w:rsid w:val="00EB0E8D"/>
    <w:rsid w:val="00ED4259"/>
    <w:rsid w:val="00EE3043"/>
    <w:rsid w:val="00EF252E"/>
    <w:rsid w:val="00F05924"/>
    <w:rsid w:val="00F14EB2"/>
    <w:rsid w:val="00F2044A"/>
    <w:rsid w:val="00F23B79"/>
    <w:rsid w:val="00F27D58"/>
    <w:rsid w:val="00F408E2"/>
    <w:rsid w:val="00F41465"/>
    <w:rsid w:val="00F6017A"/>
    <w:rsid w:val="00F807D3"/>
    <w:rsid w:val="00F95141"/>
    <w:rsid w:val="00FB1850"/>
    <w:rsid w:val="00FC49A0"/>
    <w:rsid w:val="00FC798A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5909A"/>
  <w15:docId w15:val="{9AF46CAC-8453-4F9B-A839-096590F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61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07F0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394A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94AC2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D4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15</cp:revision>
  <cp:lastPrinted>2020-06-01T09:36:00Z</cp:lastPrinted>
  <dcterms:created xsi:type="dcterms:W3CDTF">2019-05-24T06:03:00Z</dcterms:created>
  <dcterms:modified xsi:type="dcterms:W3CDTF">2020-06-09T07:39:00Z</dcterms:modified>
</cp:coreProperties>
</file>