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35" w:rsidRDefault="00756835" w:rsidP="009B7676">
      <w:pPr>
        <w:pStyle w:val="NormalWeb"/>
        <w:spacing w:before="0" w:beforeAutospacing="0" w:after="0" w:afterAutospacing="0"/>
      </w:pPr>
    </w:p>
    <w:p w:rsidR="00756835" w:rsidRPr="008447DB" w:rsidRDefault="00AC2AAB" w:rsidP="009B7676">
      <w:pPr>
        <w:pStyle w:val="NormalWeb"/>
        <w:spacing w:before="0" w:beforeAutospacing="0" w:after="0" w:afterAutospacing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s1026" type="#_x0000_t75" style="position:absolute;margin-left:51pt;margin-top:.75pt;width:36pt;height:45pt;z-index:-1;visibility:visible" wrapcoords="5400 360 1350 720 0 3240 2250 18720 7200 21240 9000 21240 12600 21240 14400 21240 19350 18360 19800 11880 21600 2880 21150 1080 16200 360 5400 360">
            <v:imagedata r:id="rId7" o:title=""/>
            <w10:wrap type="tight"/>
          </v:shape>
        </w:pict>
      </w:r>
    </w:p>
    <w:p w:rsidR="00756835" w:rsidRDefault="00756835" w:rsidP="009B7676">
      <w:pPr>
        <w:pStyle w:val="NormalWeb"/>
        <w:spacing w:before="0" w:beforeAutospacing="0" w:after="0" w:afterAutospacing="0"/>
      </w:pPr>
    </w:p>
    <w:p w:rsidR="00756835" w:rsidRDefault="00756835" w:rsidP="009B7676">
      <w:pPr>
        <w:pStyle w:val="NormalWeb"/>
        <w:spacing w:before="0" w:beforeAutospacing="0" w:after="0" w:afterAutospacing="0"/>
      </w:pPr>
    </w:p>
    <w:p w:rsidR="00756835" w:rsidRDefault="00756835" w:rsidP="009B7676">
      <w:pPr>
        <w:pStyle w:val="NormalWeb"/>
        <w:spacing w:before="0" w:beforeAutospacing="0" w:after="0" w:afterAutospacing="0"/>
      </w:pPr>
    </w:p>
    <w:p w:rsidR="00756835" w:rsidRPr="004F39FC" w:rsidRDefault="00756835" w:rsidP="009B7676">
      <w:pPr>
        <w:pStyle w:val="NormalWeb"/>
        <w:spacing w:before="0" w:beforeAutospacing="0" w:after="0" w:afterAutospacing="0"/>
        <w:rPr>
          <w:b/>
        </w:rPr>
      </w:pPr>
      <w:r w:rsidRPr="004F39FC">
        <w:rPr>
          <w:b/>
        </w:rPr>
        <w:t>REPUBLIKA HRVATSKA</w:t>
      </w:r>
    </w:p>
    <w:p w:rsidR="00756835" w:rsidRPr="004F39FC" w:rsidRDefault="00756835" w:rsidP="009B7676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OSIJEČKO BARANJSKA</w:t>
      </w:r>
      <w:r w:rsidRPr="004F39FC">
        <w:rPr>
          <w:b/>
        </w:rPr>
        <w:t xml:space="preserve"> ŽUPANIJA</w:t>
      </w:r>
    </w:p>
    <w:p w:rsidR="00756835" w:rsidRPr="004F39FC" w:rsidRDefault="00756835" w:rsidP="009B7676">
      <w:pPr>
        <w:pStyle w:val="NormalWeb"/>
        <w:spacing w:before="0" w:beforeAutospacing="0" w:after="0" w:afterAutospacing="0"/>
        <w:rPr>
          <w:b/>
        </w:rPr>
      </w:pPr>
      <w:r w:rsidRPr="004F39FC">
        <w:rPr>
          <w:b/>
        </w:rPr>
        <w:t xml:space="preserve">OPĆINA </w:t>
      </w:r>
      <w:r>
        <w:rPr>
          <w:b/>
        </w:rPr>
        <w:t>VLADISLAVCI</w:t>
      </w:r>
    </w:p>
    <w:p w:rsidR="00756835" w:rsidRDefault="00756835" w:rsidP="009B7676">
      <w:r>
        <w:t>Vladislavci, Kralja Tomislava 141</w:t>
      </w:r>
    </w:p>
    <w:p w:rsidR="00756835" w:rsidRPr="00A02A82" w:rsidRDefault="00756835" w:rsidP="009B7676">
      <w:r>
        <w:t>OIB: 17797796502</w:t>
      </w:r>
    </w:p>
    <w:p w:rsidR="00756835" w:rsidRDefault="00756835" w:rsidP="009B7676">
      <w:pPr>
        <w:pStyle w:val="NormalWeb"/>
        <w:spacing w:before="0" w:beforeAutospacing="0" w:after="0" w:afterAutospacing="0"/>
        <w:rPr>
          <w:iCs/>
          <w:color w:val="FF0000"/>
        </w:rPr>
      </w:pPr>
    </w:p>
    <w:p w:rsidR="00756835" w:rsidRPr="00B9018E" w:rsidRDefault="00756835" w:rsidP="009B7676">
      <w:pPr>
        <w:pStyle w:val="NormalWeb"/>
        <w:spacing w:before="0" w:beforeAutospacing="0" w:after="0" w:afterAutospacing="0"/>
        <w:rPr>
          <w:iCs/>
        </w:rPr>
      </w:pPr>
      <w:r w:rsidRPr="00B9018E">
        <w:rPr>
          <w:iCs/>
        </w:rPr>
        <w:t>Klasa: 400-06/17-13/1</w:t>
      </w:r>
    </w:p>
    <w:p w:rsidR="00756835" w:rsidRPr="00B9018E" w:rsidRDefault="00756835" w:rsidP="009B7676">
      <w:pPr>
        <w:pStyle w:val="NormalWeb"/>
        <w:spacing w:before="0" w:beforeAutospacing="0" w:after="0" w:afterAutospacing="0"/>
        <w:rPr>
          <w:iCs/>
        </w:rPr>
      </w:pPr>
      <w:r w:rsidRPr="00B9018E">
        <w:rPr>
          <w:iCs/>
        </w:rPr>
        <w:t>Urbroj: 2158/07-03-17-01</w:t>
      </w:r>
    </w:p>
    <w:p w:rsidR="00756835" w:rsidRPr="00A02A82" w:rsidRDefault="00756835" w:rsidP="009B7676">
      <w:r>
        <w:t xml:space="preserve">Vladislavci, 15. veljače </w:t>
      </w:r>
      <w:r w:rsidRPr="00A02A82">
        <w:t xml:space="preserve"> 201</w:t>
      </w:r>
      <w:r>
        <w:t>7</w:t>
      </w:r>
      <w:r w:rsidRPr="00A02A82">
        <w:t>. godine</w:t>
      </w:r>
    </w:p>
    <w:p w:rsidR="00756835" w:rsidRDefault="00756835" w:rsidP="009B7676">
      <w:pPr>
        <w:pStyle w:val="Title"/>
        <w:rPr>
          <w:sz w:val="28"/>
          <w:szCs w:val="28"/>
        </w:rPr>
      </w:pPr>
    </w:p>
    <w:p w:rsidR="00756835" w:rsidRDefault="00756835" w:rsidP="009B7676">
      <w:pPr>
        <w:pStyle w:val="Title"/>
        <w:rPr>
          <w:sz w:val="28"/>
          <w:szCs w:val="28"/>
        </w:rPr>
      </w:pPr>
    </w:p>
    <w:p w:rsidR="00756835" w:rsidRPr="00E9027E" w:rsidRDefault="00756835" w:rsidP="009B7676">
      <w:pPr>
        <w:pStyle w:val="Title"/>
        <w:rPr>
          <w:sz w:val="40"/>
          <w:szCs w:val="40"/>
        </w:rPr>
      </w:pPr>
      <w:r w:rsidRPr="00E9027E">
        <w:rPr>
          <w:sz w:val="40"/>
          <w:szCs w:val="40"/>
        </w:rPr>
        <w:t xml:space="preserve">BILJEŠKE </w:t>
      </w:r>
    </w:p>
    <w:p w:rsidR="00756835" w:rsidRDefault="00756835" w:rsidP="009B7676">
      <w:pPr>
        <w:pStyle w:val="Title"/>
        <w:rPr>
          <w:sz w:val="28"/>
          <w:szCs w:val="28"/>
        </w:rPr>
      </w:pPr>
      <w:r>
        <w:rPr>
          <w:sz w:val="28"/>
          <w:szCs w:val="28"/>
        </w:rPr>
        <w:t>UZ FINANCIJSKE IZVJEŠTAJE</w:t>
      </w:r>
    </w:p>
    <w:p w:rsidR="00756835" w:rsidRDefault="00756835" w:rsidP="00E9027E">
      <w:pPr>
        <w:pStyle w:val="Title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za razdoblje </w:t>
      </w:r>
      <w:r w:rsidRPr="004F39FC">
        <w:rPr>
          <w:b w:val="0"/>
          <w:i/>
          <w:sz w:val="28"/>
          <w:szCs w:val="28"/>
        </w:rPr>
        <w:t>od 01. siječnja do 31. prosinca 201</w:t>
      </w:r>
      <w:r>
        <w:rPr>
          <w:b w:val="0"/>
          <w:i/>
          <w:sz w:val="28"/>
          <w:szCs w:val="28"/>
        </w:rPr>
        <w:t>6</w:t>
      </w:r>
      <w:r w:rsidRPr="004F39FC">
        <w:rPr>
          <w:b w:val="0"/>
          <w:i/>
          <w:sz w:val="28"/>
          <w:szCs w:val="28"/>
        </w:rPr>
        <w:t>. godine</w:t>
      </w:r>
    </w:p>
    <w:p w:rsidR="00756835" w:rsidRPr="004F39FC" w:rsidRDefault="00756835" w:rsidP="008E7FF8">
      <w:pPr>
        <w:pStyle w:val="Title"/>
        <w:jc w:val="left"/>
        <w:rPr>
          <w:b w:val="0"/>
          <w:i/>
          <w:sz w:val="28"/>
          <w:szCs w:val="28"/>
        </w:rPr>
      </w:pPr>
    </w:p>
    <w:p w:rsidR="00756835" w:rsidRDefault="00756835"/>
    <w:p w:rsidR="00756835" w:rsidRDefault="00756835" w:rsidP="00EE0718">
      <w:pPr>
        <w:autoSpaceDE w:val="0"/>
        <w:autoSpaceDN w:val="0"/>
        <w:adjustRightInd w:val="0"/>
        <w:rPr>
          <w:b/>
          <w:bCs/>
          <w:lang w:eastAsia="en-US"/>
        </w:rPr>
      </w:pPr>
      <w:r>
        <w:rPr>
          <w:b/>
          <w:bCs/>
          <w:lang w:eastAsia="en-US"/>
        </w:rPr>
        <w:t>I. UVOD</w:t>
      </w:r>
    </w:p>
    <w:p w:rsidR="00756835" w:rsidRDefault="00756835" w:rsidP="00EE0718">
      <w:pPr>
        <w:autoSpaceDE w:val="0"/>
        <w:autoSpaceDN w:val="0"/>
        <w:adjustRightInd w:val="0"/>
        <w:rPr>
          <w:b/>
          <w:bCs/>
          <w:lang w:eastAsia="en-US"/>
        </w:rPr>
      </w:pPr>
    </w:p>
    <w:p w:rsidR="00756835" w:rsidRDefault="00756835" w:rsidP="00EE0718">
      <w:pPr>
        <w:autoSpaceDE w:val="0"/>
        <w:autoSpaceDN w:val="0"/>
        <w:adjustRightInd w:val="0"/>
        <w:spacing w:line="360" w:lineRule="auto"/>
        <w:ind w:left="567"/>
        <w:rPr>
          <w:b/>
          <w:bCs/>
          <w:lang w:eastAsia="en-US"/>
        </w:rPr>
      </w:pPr>
      <w:r>
        <w:rPr>
          <w:lang w:eastAsia="en-US"/>
        </w:rPr>
        <w:t xml:space="preserve">1. Naziv obveznika: </w:t>
      </w:r>
      <w:r>
        <w:rPr>
          <w:b/>
          <w:bCs/>
          <w:lang w:eastAsia="en-US"/>
        </w:rPr>
        <w:t>OPĆINA VLADISLAVCI</w:t>
      </w:r>
    </w:p>
    <w:p w:rsidR="00756835" w:rsidRDefault="00756835" w:rsidP="00EE0718">
      <w:pPr>
        <w:autoSpaceDE w:val="0"/>
        <w:autoSpaceDN w:val="0"/>
        <w:adjustRightInd w:val="0"/>
        <w:spacing w:line="360" w:lineRule="auto"/>
        <w:ind w:left="567"/>
        <w:rPr>
          <w:lang w:eastAsia="en-US"/>
        </w:rPr>
      </w:pPr>
      <w:r>
        <w:rPr>
          <w:lang w:eastAsia="en-US"/>
        </w:rPr>
        <w:t>2. Sjedište obveznika: 31 404 VLADISLAVCI</w:t>
      </w:r>
    </w:p>
    <w:p w:rsidR="00756835" w:rsidRDefault="00756835" w:rsidP="00EE0718">
      <w:pPr>
        <w:autoSpaceDE w:val="0"/>
        <w:autoSpaceDN w:val="0"/>
        <w:adjustRightInd w:val="0"/>
        <w:spacing w:line="360" w:lineRule="auto"/>
        <w:ind w:left="567"/>
        <w:rPr>
          <w:lang w:eastAsia="en-US"/>
        </w:rPr>
      </w:pPr>
      <w:r>
        <w:rPr>
          <w:lang w:eastAsia="en-US"/>
        </w:rPr>
        <w:t xml:space="preserve">3. Adresa sjedišta: </w:t>
      </w:r>
      <w:r>
        <w:t>Kralja Tomislava 141</w:t>
      </w:r>
    </w:p>
    <w:p w:rsidR="00756835" w:rsidRDefault="00756835" w:rsidP="00EE0718">
      <w:pPr>
        <w:autoSpaceDE w:val="0"/>
        <w:autoSpaceDN w:val="0"/>
        <w:adjustRightInd w:val="0"/>
        <w:spacing w:line="360" w:lineRule="auto"/>
        <w:ind w:left="567"/>
        <w:rPr>
          <w:lang w:eastAsia="en-US"/>
        </w:rPr>
      </w:pPr>
      <w:r>
        <w:rPr>
          <w:lang w:eastAsia="en-US"/>
        </w:rPr>
        <w:t>4. Šifra općine: 579</w:t>
      </w:r>
    </w:p>
    <w:p w:rsidR="00756835" w:rsidRDefault="00756835" w:rsidP="00EE0718">
      <w:pPr>
        <w:autoSpaceDE w:val="0"/>
        <w:autoSpaceDN w:val="0"/>
        <w:adjustRightInd w:val="0"/>
        <w:spacing w:line="360" w:lineRule="auto"/>
        <w:ind w:left="567"/>
        <w:rPr>
          <w:lang w:eastAsia="en-US"/>
        </w:rPr>
      </w:pPr>
      <w:r>
        <w:rPr>
          <w:lang w:eastAsia="en-US"/>
        </w:rPr>
        <w:t>5. Broj RKP-a: 37033</w:t>
      </w:r>
    </w:p>
    <w:p w:rsidR="00756835" w:rsidRDefault="00756835" w:rsidP="00EE0718">
      <w:pPr>
        <w:autoSpaceDE w:val="0"/>
        <w:autoSpaceDN w:val="0"/>
        <w:adjustRightInd w:val="0"/>
        <w:spacing w:line="360" w:lineRule="auto"/>
        <w:ind w:left="567"/>
        <w:rPr>
          <w:lang w:eastAsia="en-US"/>
        </w:rPr>
      </w:pPr>
      <w:r>
        <w:rPr>
          <w:lang w:eastAsia="en-US"/>
        </w:rPr>
        <w:t>6. Matični broj: 02548593</w:t>
      </w:r>
    </w:p>
    <w:p w:rsidR="00756835" w:rsidRDefault="00756835" w:rsidP="00EE0718">
      <w:pPr>
        <w:autoSpaceDE w:val="0"/>
        <w:autoSpaceDN w:val="0"/>
        <w:adjustRightInd w:val="0"/>
        <w:spacing w:line="360" w:lineRule="auto"/>
        <w:ind w:left="567"/>
      </w:pPr>
      <w:r>
        <w:rPr>
          <w:lang w:eastAsia="en-US"/>
        </w:rPr>
        <w:t xml:space="preserve">7. OIB: </w:t>
      </w:r>
      <w:r>
        <w:t>17797796502</w:t>
      </w:r>
    </w:p>
    <w:p w:rsidR="00756835" w:rsidRDefault="00756835" w:rsidP="00776780">
      <w:pPr>
        <w:shd w:val="clear" w:color="auto" w:fill="9CC2E5"/>
        <w:autoSpaceDE w:val="0"/>
        <w:autoSpaceDN w:val="0"/>
        <w:adjustRightInd w:val="0"/>
        <w:spacing w:line="360" w:lineRule="auto"/>
        <w:ind w:left="567"/>
        <w:rPr>
          <w:lang w:eastAsia="en-US"/>
        </w:rPr>
      </w:pPr>
      <w:r>
        <w:rPr>
          <w:lang w:eastAsia="en-US"/>
        </w:rPr>
        <w:t>8. Razina: 22</w:t>
      </w:r>
    </w:p>
    <w:p w:rsidR="00756835" w:rsidRDefault="00756835" w:rsidP="00EE0718">
      <w:pPr>
        <w:autoSpaceDE w:val="0"/>
        <w:autoSpaceDN w:val="0"/>
        <w:adjustRightInd w:val="0"/>
        <w:spacing w:line="360" w:lineRule="auto"/>
        <w:ind w:left="567"/>
        <w:rPr>
          <w:lang w:eastAsia="en-US"/>
        </w:rPr>
      </w:pPr>
      <w:r>
        <w:rPr>
          <w:lang w:eastAsia="en-US"/>
        </w:rPr>
        <w:t>9. Razdjel: 000</w:t>
      </w:r>
    </w:p>
    <w:p w:rsidR="00756835" w:rsidRDefault="00756835" w:rsidP="00EE0718">
      <w:pPr>
        <w:autoSpaceDE w:val="0"/>
        <w:autoSpaceDN w:val="0"/>
        <w:adjustRightInd w:val="0"/>
        <w:spacing w:line="360" w:lineRule="auto"/>
        <w:ind w:left="567"/>
        <w:rPr>
          <w:lang w:eastAsia="en-US"/>
        </w:rPr>
      </w:pPr>
      <w:r>
        <w:rPr>
          <w:lang w:eastAsia="en-US"/>
        </w:rPr>
        <w:t>10. Šifra djelatnosti - NKD 2007: 8411</w:t>
      </w:r>
    </w:p>
    <w:p w:rsidR="00756835" w:rsidRDefault="00756835" w:rsidP="00E9027E">
      <w:pPr>
        <w:spacing w:line="360" w:lineRule="auto"/>
        <w:ind w:left="567"/>
        <w:rPr>
          <w:b/>
          <w:bCs/>
          <w:lang w:eastAsia="en-US"/>
        </w:rPr>
      </w:pPr>
      <w:r>
        <w:rPr>
          <w:lang w:eastAsia="en-US"/>
        </w:rPr>
        <w:t>11. Razdoblje</w:t>
      </w:r>
      <w:r>
        <w:rPr>
          <w:b/>
          <w:bCs/>
          <w:lang w:eastAsia="en-US"/>
        </w:rPr>
        <w:t xml:space="preserve">: 01. 01. </w:t>
      </w:r>
      <w:r>
        <w:rPr>
          <w:rFonts w:ascii="Times New Roman,Bold" w:hAnsi="Times New Roman,Bold" w:cs="Times New Roman,Bold"/>
          <w:b/>
          <w:bCs/>
          <w:lang w:eastAsia="en-US"/>
        </w:rPr>
        <w:t xml:space="preserve">– </w:t>
      </w:r>
      <w:r>
        <w:rPr>
          <w:b/>
          <w:bCs/>
          <w:lang w:eastAsia="en-US"/>
        </w:rPr>
        <w:t>31. 12. 2016. godine</w:t>
      </w:r>
    </w:p>
    <w:p w:rsidR="00756835" w:rsidRDefault="00756835" w:rsidP="00E9027E">
      <w:pPr>
        <w:spacing w:line="360" w:lineRule="auto"/>
        <w:ind w:left="567"/>
        <w:rPr>
          <w:b/>
          <w:bCs/>
          <w:lang w:eastAsia="en-US"/>
        </w:rPr>
      </w:pPr>
    </w:p>
    <w:p w:rsidR="00756835" w:rsidRDefault="00756835" w:rsidP="00E9027E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E9027E">
        <w:rPr>
          <w:b/>
          <w:bCs/>
          <w:lang w:eastAsia="en-US"/>
        </w:rPr>
        <w:t>Popis zakonskih i podzakonskih akata koji se izravno odnose na financijsko izvještavanje:</w:t>
      </w:r>
    </w:p>
    <w:p w:rsidR="00756835" w:rsidRPr="00E9027E" w:rsidRDefault="00756835" w:rsidP="00E9027E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756835" w:rsidRDefault="00756835" w:rsidP="00E9027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lang w:eastAsia="en-US"/>
        </w:rPr>
      </w:pPr>
      <w:r w:rsidRPr="00E9027E">
        <w:rPr>
          <w:lang w:eastAsia="en-US"/>
        </w:rPr>
        <w:t>Zakon o proračunu</w:t>
      </w:r>
    </w:p>
    <w:p w:rsidR="00756835" w:rsidRDefault="00756835" w:rsidP="00E9027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lang w:eastAsia="en-US"/>
        </w:rPr>
      </w:pPr>
      <w:r w:rsidRPr="00E9027E">
        <w:rPr>
          <w:lang w:eastAsia="en-US"/>
        </w:rPr>
        <w:t>Zakon o izvršavanju Državnog pror</w:t>
      </w:r>
      <w:r>
        <w:rPr>
          <w:lang w:eastAsia="en-US"/>
        </w:rPr>
        <w:t>ačuna Republike Hrvatske za 2016</w:t>
      </w:r>
      <w:r w:rsidRPr="00E9027E">
        <w:rPr>
          <w:lang w:eastAsia="en-US"/>
        </w:rPr>
        <w:t>. godinu,</w:t>
      </w:r>
    </w:p>
    <w:p w:rsidR="00756835" w:rsidRDefault="00756835" w:rsidP="00E9027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lang w:eastAsia="en-US"/>
        </w:rPr>
      </w:pPr>
      <w:r w:rsidRPr="00E9027E">
        <w:rPr>
          <w:lang w:eastAsia="en-US"/>
        </w:rPr>
        <w:t>Pravilnik o proračunskom računovodstvu i računskom planu,</w:t>
      </w:r>
    </w:p>
    <w:p w:rsidR="00756835" w:rsidRPr="00E9027E" w:rsidRDefault="00756835" w:rsidP="00E9027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lang w:eastAsia="en-US"/>
        </w:rPr>
      </w:pPr>
      <w:r w:rsidRPr="00E9027E">
        <w:rPr>
          <w:lang w:eastAsia="en-US"/>
        </w:rPr>
        <w:t>Pravilnik o financijskom izvještavanju u proračunskom računovodstvu</w:t>
      </w:r>
      <w:r>
        <w:rPr>
          <w:lang w:eastAsia="en-US"/>
        </w:rPr>
        <w:t>.</w:t>
      </w:r>
    </w:p>
    <w:p w:rsidR="00756835" w:rsidRDefault="00756835" w:rsidP="00E9027E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756835" w:rsidRDefault="00756835" w:rsidP="00E9027E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756835" w:rsidRDefault="00756835" w:rsidP="00E9027E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756835" w:rsidRDefault="00756835" w:rsidP="00E9027E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B0629F">
        <w:rPr>
          <w:b/>
          <w:bCs/>
          <w:lang w:eastAsia="en-US"/>
        </w:rPr>
        <w:t>Financiranje javnih rashoda izvršeno je na osnovi slijedećih financijsko planskih dokumenata :</w:t>
      </w:r>
    </w:p>
    <w:p w:rsidR="00756835" w:rsidRPr="00B0629F" w:rsidRDefault="00756835" w:rsidP="00E9027E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756835" w:rsidRPr="00B9018E" w:rsidRDefault="00756835" w:rsidP="00E9027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lang w:eastAsia="en-US"/>
        </w:rPr>
      </w:pPr>
      <w:r w:rsidRPr="00B0629F">
        <w:rPr>
          <w:lang w:eastAsia="en-US"/>
        </w:rPr>
        <w:t xml:space="preserve">Proračun </w:t>
      </w:r>
      <w:r w:rsidRPr="00B9018E">
        <w:rPr>
          <w:lang w:eastAsia="en-US"/>
        </w:rPr>
        <w:t>Općine Vladislavci za 2016. godinu („Službeni glasnik“ Općine Vladislavci broj 7/15),</w:t>
      </w:r>
    </w:p>
    <w:p w:rsidR="00756835" w:rsidRPr="00B9018E" w:rsidRDefault="00756835" w:rsidP="00B0629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lang w:eastAsia="en-US"/>
        </w:rPr>
      </w:pPr>
      <w:r w:rsidRPr="00B9018E">
        <w:rPr>
          <w:lang w:eastAsia="en-US"/>
        </w:rPr>
        <w:t>Odluka o izvršenju proračuna Općine Vladislavci za 2016. godinu („Službeni glasnik“ Općine Vladislavci  broj 7/15),</w:t>
      </w:r>
    </w:p>
    <w:p w:rsidR="00756835" w:rsidRPr="00B9018E" w:rsidRDefault="00756835" w:rsidP="001C40CA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B9018E">
        <w:rPr>
          <w:lang w:eastAsia="en-US"/>
        </w:rPr>
        <w:t>I. Izmjene i dopune proračuna Općine Vladislavci za 2016. godinu („Službeni glasnik“ Općine Vladislavci broj 4/16),</w:t>
      </w:r>
    </w:p>
    <w:p w:rsidR="00756835" w:rsidRPr="00B9018E" w:rsidRDefault="00756835" w:rsidP="001C40CA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B9018E">
        <w:rPr>
          <w:lang w:eastAsia="en-US"/>
        </w:rPr>
        <w:t>II. Izmjene i dopune proračuna Općine Općine Vladislavci za 2016. godinu („Službeni glasnik“ Općine Vladislavci broj 6/16),</w:t>
      </w:r>
    </w:p>
    <w:p w:rsidR="00756835" w:rsidRPr="00B0629F" w:rsidRDefault="00756835" w:rsidP="00B0629F">
      <w:pPr>
        <w:autoSpaceDE w:val="0"/>
        <w:autoSpaceDN w:val="0"/>
        <w:adjustRightInd w:val="0"/>
        <w:ind w:left="360"/>
        <w:jc w:val="both"/>
        <w:rPr>
          <w:b/>
          <w:bCs/>
          <w:lang w:eastAsia="en-US"/>
        </w:rPr>
      </w:pPr>
    </w:p>
    <w:p w:rsidR="00756835" w:rsidRPr="009B38DC" w:rsidRDefault="00756835" w:rsidP="00B0629F">
      <w:pPr>
        <w:autoSpaceDE w:val="0"/>
        <w:autoSpaceDN w:val="0"/>
        <w:adjustRightInd w:val="0"/>
        <w:jc w:val="both"/>
        <w:rPr>
          <w:lang w:eastAsia="en-US"/>
        </w:rPr>
      </w:pPr>
      <w:r w:rsidRPr="009B38DC">
        <w:rPr>
          <w:lang w:eastAsia="en-US"/>
        </w:rPr>
        <w:t>Sukladno Okružnici o predaji i konsolidaciji financijskih izvještaja proračuna, proračunskih i izvanproračunskih korisnika državnog proračuna te proračunskih i izvanproračunskih korisnika proračuna jedinica lokalne i područne ( regionalne ) samouprave za razdoblje od 1. siječnja do 31. prosinca 2016. godine Klasa: 400-01/16-01/12 Urbroj: 513-05-02-16-09 od 5. siječnja 2017. godine predaje se izvještaj razine 22 u zadanom roku do 15. veljače 2017. godine.</w:t>
      </w:r>
    </w:p>
    <w:p w:rsidR="00756835" w:rsidRDefault="00756835" w:rsidP="00B0629F">
      <w:pPr>
        <w:autoSpaceDE w:val="0"/>
        <w:autoSpaceDN w:val="0"/>
        <w:adjustRightInd w:val="0"/>
        <w:jc w:val="both"/>
        <w:rPr>
          <w:lang w:eastAsia="en-US"/>
        </w:rPr>
      </w:pPr>
    </w:p>
    <w:p w:rsidR="00756835" w:rsidRPr="00B0629F" w:rsidRDefault="00756835" w:rsidP="00B0629F">
      <w:pPr>
        <w:autoSpaceDE w:val="0"/>
        <w:autoSpaceDN w:val="0"/>
        <w:adjustRightInd w:val="0"/>
        <w:rPr>
          <w:b/>
          <w:lang w:eastAsia="en-US"/>
        </w:rPr>
      </w:pPr>
      <w:r w:rsidRPr="00B0629F">
        <w:rPr>
          <w:b/>
          <w:lang w:eastAsia="en-US"/>
        </w:rPr>
        <w:t>Sastavljen je set financijskih izvještaja :</w:t>
      </w:r>
    </w:p>
    <w:p w:rsidR="00756835" w:rsidRDefault="00756835" w:rsidP="00B0629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lang w:eastAsia="en-US"/>
        </w:rPr>
      </w:pPr>
      <w:r w:rsidRPr="00B0629F">
        <w:rPr>
          <w:lang w:eastAsia="en-US"/>
        </w:rPr>
        <w:t>Bilanca na Obrascu: BIL,</w:t>
      </w:r>
    </w:p>
    <w:p w:rsidR="00756835" w:rsidRDefault="00756835" w:rsidP="00B0629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lang w:eastAsia="en-US"/>
        </w:rPr>
      </w:pPr>
      <w:r w:rsidRPr="00B0629F">
        <w:rPr>
          <w:lang w:eastAsia="en-US"/>
        </w:rPr>
        <w:t>Izvještaj o prihodima i rashodima, primicima i izdacima na Obrascu: PR-RAS,</w:t>
      </w:r>
    </w:p>
    <w:p w:rsidR="00756835" w:rsidRDefault="00756835" w:rsidP="00B0629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lang w:eastAsia="en-US"/>
        </w:rPr>
      </w:pPr>
      <w:r w:rsidRPr="00B0629F">
        <w:rPr>
          <w:lang w:eastAsia="en-US"/>
        </w:rPr>
        <w:t>Izvještaj o rashodima prema funkcijskoj klasifikaciji na Obrascu: RAS-funkcijski,</w:t>
      </w:r>
    </w:p>
    <w:p w:rsidR="00756835" w:rsidRDefault="00756835" w:rsidP="00B0629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lang w:eastAsia="en-US"/>
        </w:rPr>
      </w:pPr>
      <w:r w:rsidRPr="00B0629F">
        <w:rPr>
          <w:lang w:eastAsia="en-US"/>
        </w:rPr>
        <w:t>Izvještaj o promjenama u vrijednosti i obujmu imovine i obveza na Obrascu: P-VRIO,</w:t>
      </w:r>
    </w:p>
    <w:p w:rsidR="00756835" w:rsidRDefault="00756835" w:rsidP="00B0629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lang w:eastAsia="en-US"/>
        </w:rPr>
      </w:pPr>
      <w:r w:rsidRPr="00B0629F">
        <w:rPr>
          <w:lang w:eastAsia="en-US"/>
        </w:rPr>
        <w:t>Izvještaj o obvezama na Obrascu: OBVEZE.</w:t>
      </w:r>
    </w:p>
    <w:p w:rsidR="00756835" w:rsidRDefault="00756835" w:rsidP="00B0629F">
      <w:pPr>
        <w:autoSpaceDE w:val="0"/>
        <w:autoSpaceDN w:val="0"/>
        <w:adjustRightInd w:val="0"/>
        <w:rPr>
          <w:lang w:eastAsia="en-US"/>
        </w:rPr>
      </w:pPr>
    </w:p>
    <w:p w:rsidR="00756835" w:rsidRDefault="00756835" w:rsidP="00B0629F">
      <w:pPr>
        <w:autoSpaceDE w:val="0"/>
        <w:autoSpaceDN w:val="0"/>
        <w:adjustRightInd w:val="0"/>
        <w:rPr>
          <w:lang w:eastAsia="en-US"/>
        </w:rPr>
      </w:pPr>
    </w:p>
    <w:p w:rsidR="00756835" w:rsidRPr="00B0629F" w:rsidRDefault="00756835" w:rsidP="00B0629F">
      <w:pPr>
        <w:autoSpaceDE w:val="0"/>
        <w:autoSpaceDN w:val="0"/>
        <w:adjustRightInd w:val="0"/>
        <w:rPr>
          <w:lang w:eastAsia="en-US"/>
        </w:rPr>
      </w:pPr>
    </w:p>
    <w:p w:rsidR="00756835" w:rsidRPr="00B0629F" w:rsidRDefault="00756835" w:rsidP="00B0629F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B0629F">
        <w:rPr>
          <w:b/>
          <w:bCs/>
          <w:lang w:eastAsia="en-US"/>
        </w:rPr>
        <w:t xml:space="preserve">II. BILJEŠKE UZ </w:t>
      </w:r>
      <w:r>
        <w:rPr>
          <w:b/>
          <w:bCs/>
          <w:lang w:eastAsia="en-US"/>
        </w:rPr>
        <w:t>OBRAZAC BIL</w:t>
      </w:r>
    </w:p>
    <w:p w:rsidR="00756835" w:rsidRDefault="00756835" w:rsidP="00EE0718">
      <w:pPr>
        <w:autoSpaceDE w:val="0"/>
        <w:autoSpaceDN w:val="0"/>
        <w:adjustRightInd w:val="0"/>
        <w:rPr>
          <w:b/>
          <w:bCs/>
          <w:lang w:eastAsia="en-US"/>
        </w:rPr>
      </w:pPr>
    </w:p>
    <w:p w:rsidR="00756835" w:rsidRPr="00B0629F" w:rsidRDefault="00756835" w:rsidP="00B0629F">
      <w:pPr>
        <w:autoSpaceDE w:val="0"/>
        <w:autoSpaceDN w:val="0"/>
        <w:adjustRightInd w:val="0"/>
        <w:jc w:val="both"/>
        <w:rPr>
          <w:lang w:eastAsia="en-US"/>
        </w:rPr>
      </w:pPr>
      <w:r w:rsidRPr="00B0629F">
        <w:rPr>
          <w:lang w:eastAsia="en-US"/>
        </w:rPr>
        <w:t>U Bilancu su uneseni podaci iz Glavne knjige. Jednakosti među pojedinim pozicijama Bilance proizlaze iz</w:t>
      </w:r>
      <w:r>
        <w:rPr>
          <w:lang w:eastAsia="en-US"/>
        </w:rPr>
        <w:t xml:space="preserve"> </w:t>
      </w:r>
      <w:r w:rsidRPr="00B0629F">
        <w:rPr>
          <w:lang w:eastAsia="en-US"/>
        </w:rPr>
        <w:t xml:space="preserve">propisanih knjigovodstvenih evidencija </w:t>
      </w:r>
      <w:r>
        <w:rPr>
          <w:lang w:eastAsia="en-US"/>
        </w:rPr>
        <w:t>tako da AOP 001 Imovina = AOP 1</w:t>
      </w:r>
      <w:r w:rsidRPr="00B0629F">
        <w:rPr>
          <w:lang w:eastAsia="en-US"/>
        </w:rPr>
        <w:t>6</w:t>
      </w:r>
      <w:r>
        <w:rPr>
          <w:lang w:eastAsia="en-US"/>
        </w:rPr>
        <w:t>2</w:t>
      </w:r>
      <w:r w:rsidRPr="00B0629F">
        <w:rPr>
          <w:lang w:eastAsia="en-US"/>
        </w:rPr>
        <w:t xml:space="preserve"> Obveze + Vlastiti izvori.</w:t>
      </w:r>
    </w:p>
    <w:p w:rsidR="00756835" w:rsidRDefault="00756835" w:rsidP="00EE0718">
      <w:pPr>
        <w:autoSpaceDE w:val="0"/>
        <w:autoSpaceDN w:val="0"/>
        <w:adjustRightInd w:val="0"/>
        <w:jc w:val="both"/>
        <w:rPr>
          <w:lang w:eastAsia="en-US"/>
        </w:rPr>
      </w:pPr>
    </w:p>
    <w:p w:rsidR="00756835" w:rsidRDefault="00756835" w:rsidP="00EE0718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Za ispravak vrijednosti dugotrajne imovine korištene su stope propisane prema važećem Pravilniku o računovodstvu i računskom planu za proračune.</w:t>
      </w:r>
    </w:p>
    <w:p w:rsidR="00756835" w:rsidRDefault="00756835" w:rsidP="00EE0718">
      <w:pPr>
        <w:autoSpaceDE w:val="0"/>
        <w:autoSpaceDN w:val="0"/>
        <w:adjustRightInd w:val="0"/>
        <w:jc w:val="both"/>
        <w:rPr>
          <w:lang w:eastAsia="en-US"/>
        </w:rPr>
      </w:pPr>
    </w:p>
    <w:p w:rsidR="00756835" w:rsidRDefault="00756835" w:rsidP="001A4BCD">
      <w:pPr>
        <w:autoSpaceDE w:val="0"/>
        <w:autoSpaceDN w:val="0"/>
        <w:adjustRightInd w:val="0"/>
        <w:jc w:val="both"/>
        <w:rPr>
          <w:lang w:eastAsia="en-US"/>
        </w:rPr>
      </w:pPr>
      <w:r w:rsidRPr="001A4BCD">
        <w:rPr>
          <w:b/>
          <w:i/>
          <w:lang w:eastAsia="en-US"/>
        </w:rPr>
        <w:t>Bilješka uz AOP 002 Nefinancijska imovina</w:t>
      </w:r>
      <w:r>
        <w:rPr>
          <w:lang w:eastAsia="en-US"/>
        </w:rPr>
        <w:t xml:space="preserve">: nefinancijska imovina u izvještajnom razdoblju veća je za 1,30 % u odnosu na izvještajno razdoblje prethodne godine, odnosno prikazana vrijednost na AOP 002 na dan 31. prosinca iznosi 19.853.738 kn. </w:t>
      </w:r>
    </w:p>
    <w:p w:rsidR="00756835" w:rsidRDefault="00756835" w:rsidP="00CA460E">
      <w:pPr>
        <w:autoSpaceDE w:val="0"/>
        <w:autoSpaceDN w:val="0"/>
        <w:adjustRightInd w:val="0"/>
        <w:jc w:val="both"/>
        <w:rPr>
          <w:lang w:eastAsia="en-US"/>
        </w:rPr>
      </w:pPr>
    </w:p>
    <w:p w:rsidR="00756835" w:rsidRPr="009B38DC" w:rsidRDefault="00756835" w:rsidP="00CA460E">
      <w:pPr>
        <w:autoSpaceDE w:val="0"/>
        <w:autoSpaceDN w:val="0"/>
        <w:adjustRightInd w:val="0"/>
        <w:jc w:val="both"/>
        <w:rPr>
          <w:lang w:eastAsia="en-US"/>
        </w:rPr>
      </w:pPr>
      <w:r w:rsidRPr="001A4BCD">
        <w:rPr>
          <w:b/>
          <w:i/>
          <w:lang w:eastAsia="en-US"/>
        </w:rPr>
        <w:t>Bilješka uz AOP 00</w:t>
      </w:r>
      <w:r>
        <w:rPr>
          <w:b/>
          <w:i/>
          <w:lang w:eastAsia="en-US"/>
        </w:rPr>
        <w:t xml:space="preserve">4: </w:t>
      </w:r>
      <w:r>
        <w:rPr>
          <w:lang w:eastAsia="en-US"/>
        </w:rPr>
        <w:t>u okviru podskupine konta 011 Materijalna imovina – prirodna bogatstva nije bilo promjena u izvještajnom razdoblju u odnosu na 2015. godinu.</w:t>
      </w:r>
    </w:p>
    <w:p w:rsidR="00756835" w:rsidRDefault="00756835" w:rsidP="00CA460E">
      <w:pPr>
        <w:autoSpaceDE w:val="0"/>
        <w:autoSpaceDN w:val="0"/>
        <w:adjustRightInd w:val="0"/>
        <w:jc w:val="both"/>
        <w:rPr>
          <w:lang w:eastAsia="en-US"/>
        </w:rPr>
      </w:pPr>
    </w:p>
    <w:p w:rsidR="00756835" w:rsidRDefault="00756835" w:rsidP="00CA460E">
      <w:pPr>
        <w:autoSpaceDE w:val="0"/>
        <w:autoSpaceDN w:val="0"/>
        <w:adjustRightInd w:val="0"/>
        <w:jc w:val="both"/>
        <w:rPr>
          <w:b/>
          <w:i/>
          <w:lang w:eastAsia="en-US"/>
        </w:rPr>
      </w:pPr>
    </w:p>
    <w:p w:rsidR="00756835" w:rsidRDefault="00756835" w:rsidP="00CA460E">
      <w:pPr>
        <w:autoSpaceDE w:val="0"/>
        <w:autoSpaceDN w:val="0"/>
        <w:adjustRightInd w:val="0"/>
        <w:jc w:val="both"/>
        <w:rPr>
          <w:b/>
          <w:i/>
          <w:lang w:eastAsia="en-US"/>
        </w:rPr>
      </w:pPr>
    </w:p>
    <w:p w:rsidR="00756835" w:rsidRDefault="00756835" w:rsidP="00CA460E">
      <w:pPr>
        <w:autoSpaceDE w:val="0"/>
        <w:autoSpaceDN w:val="0"/>
        <w:adjustRightInd w:val="0"/>
        <w:jc w:val="both"/>
        <w:rPr>
          <w:b/>
          <w:i/>
          <w:lang w:eastAsia="en-US"/>
        </w:rPr>
      </w:pPr>
    </w:p>
    <w:p w:rsidR="00756835" w:rsidRDefault="00756835" w:rsidP="00CA460E">
      <w:pPr>
        <w:autoSpaceDE w:val="0"/>
        <w:autoSpaceDN w:val="0"/>
        <w:adjustRightInd w:val="0"/>
        <w:jc w:val="both"/>
        <w:rPr>
          <w:b/>
          <w:i/>
          <w:lang w:eastAsia="en-US"/>
        </w:rPr>
      </w:pPr>
    </w:p>
    <w:p w:rsidR="00756835" w:rsidRDefault="00756835" w:rsidP="00CA460E">
      <w:pPr>
        <w:autoSpaceDE w:val="0"/>
        <w:autoSpaceDN w:val="0"/>
        <w:adjustRightInd w:val="0"/>
        <w:jc w:val="both"/>
        <w:rPr>
          <w:b/>
          <w:i/>
          <w:lang w:eastAsia="en-US"/>
        </w:rPr>
      </w:pPr>
    </w:p>
    <w:p w:rsidR="00756835" w:rsidRDefault="00756835" w:rsidP="00CA460E">
      <w:pPr>
        <w:autoSpaceDE w:val="0"/>
        <w:autoSpaceDN w:val="0"/>
        <w:adjustRightInd w:val="0"/>
        <w:jc w:val="both"/>
        <w:rPr>
          <w:b/>
          <w:i/>
          <w:lang w:eastAsia="en-US"/>
        </w:rPr>
      </w:pPr>
    </w:p>
    <w:p w:rsidR="00756835" w:rsidRDefault="00756835" w:rsidP="00CA460E">
      <w:pPr>
        <w:autoSpaceDE w:val="0"/>
        <w:autoSpaceDN w:val="0"/>
        <w:adjustRightInd w:val="0"/>
        <w:jc w:val="both"/>
        <w:rPr>
          <w:b/>
          <w:i/>
          <w:lang w:eastAsia="en-US"/>
        </w:rPr>
      </w:pPr>
    </w:p>
    <w:p w:rsidR="00756835" w:rsidRDefault="00756835" w:rsidP="00CA460E">
      <w:pPr>
        <w:autoSpaceDE w:val="0"/>
        <w:autoSpaceDN w:val="0"/>
        <w:adjustRightInd w:val="0"/>
        <w:jc w:val="both"/>
        <w:rPr>
          <w:lang w:eastAsia="en-US"/>
        </w:rPr>
      </w:pPr>
      <w:r w:rsidRPr="001A4BCD">
        <w:rPr>
          <w:b/>
          <w:i/>
          <w:lang w:eastAsia="en-US"/>
        </w:rPr>
        <w:t>Bilješka uz AOP 00</w:t>
      </w:r>
      <w:r>
        <w:rPr>
          <w:b/>
          <w:i/>
          <w:lang w:eastAsia="en-US"/>
        </w:rPr>
        <w:t>7:</w:t>
      </w:r>
      <w:r w:rsidRPr="001A4BCD">
        <w:rPr>
          <w:b/>
          <w:i/>
          <w:lang w:eastAsia="en-US"/>
        </w:rPr>
        <w:t xml:space="preserve"> </w:t>
      </w:r>
      <w:r>
        <w:rPr>
          <w:lang w:eastAsia="en-US"/>
        </w:rPr>
        <w:t>Tokom izvještajnog razdoblja nije bilo vrijednosno značajnijih promjene u okviru skupine proizvedene dugotrajne imovine. Navedeni AOP bilježi blagi porast u odnosu na prethodno izvještajno razdoblje i to za 1,50 % odnosno za 263.044 kn.</w:t>
      </w:r>
    </w:p>
    <w:p w:rsidR="00756835" w:rsidRDefault="00756835" w:rsidP="00CA460E">
      <w:pPr>
        <w:autoSpaceDE w:val="0"/>
        <w:autoSpaceDN w:val="0"/>
        <w:adjustRightInd w:val="0"/>
        <w:jc w:val="both"/>
        <w:rPr>
          <w:b/>
          <w:i/>
          <w:lang w:eastAsia="en-US"/>
        </w:rPr>
      </w:pPr>
    </w:p>
    <w:p w:rsidR="00756835" w:rsidRDefault="00756835" w:rsidP="00CA460E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i/>
          <w:lang w:eastAsia="en-US"/>
        </w:rPr>
        <w:t>Bilješka uz AOP 009</w:t>
      </w:r>
      <w:r w:rsidRPr="00F5422D">
        <w:rPr>
          <w:b/>
          <w:i/>
          <w:lang w:eastAsia="en-US"/>
        </w:rPr>
        <w:t xml:space="preserve">: </w:t>
      </w:r>
      <w:r>
        <w:rPr>
          <w:lang w:eastAsia="en-US"/>
        </w:rPr>
        <w:t>AOP 009</w:t>
      </w:r>
      <w:r w:rsidRPr="00F5422D">
        <w:rPr>
          <w:lang w:eastAsia="en-US"/>
        </w:rPr>
        <w:t xml:space="preserve"> bilježi porast za </w:t>
      </w:r>
      <w:r>
        <w:rPr>
          <w:lang w:eastAsia="en-US"/>
        </w:rPr>
        <w:t>37,30</w:t>
      </w:r>
      <w:r w:rsidRPr="00F5422D">
        <w:rPr>
          <w:lang w:eastAsia="en-US"/>
        </w:rPr>
        <w:t xml:space="preserve"> % u odnosu na prethodno izvještajno razdoblje, odnosno sa prijašnjih </w:t>
      </w:r>
      <w:r>
        <w:rPr>
          <w:lang w:eastAsia="en-US"/>
        </w:rPr>
        <w:t>404.322</w:t>
      </w:r>
      <w:r w:rsidRPr="00F5422D">
        <w:rPr>
          <w:lang w:eastAsia="en-US"/>
        </w:rPr>
        <w:t xml:space="preserve"> kn na sadašnjih </w:t>
      </w:r>
      <w:r>
        <w:rPr>
          <w:lang w:eastAsia="en-US"/>
        </w:rPr>
        <w:t>555.322</w:t>
      </w:r>
      <w:r w:rsidRPr="00F5422D">
        <w:rPr>
          <w:lang w:eastAsia="en-US"/>
        </w:rPr>
        <w:t xml:space="preserve"> kn. U izvještajnom razdoblju </w:t>
      </w:r>
      <w:r>
        <w:rPr>
          <w:lang w:eastAsia="en-US"/>
        </w:rPr>
        <w:t>potpisan je i realiziran ugovor o prodaji nekretnine.</w:t>
      </w:r>
    </w:p>
    <w:p w:rsidR="00756835" w:rsidRPr="00B52886" w:rsidRDefault="00756835" w:rsidP="00CA460E">
      <w:pPr>
        <w:autoSpaceDE w:val="0"/>
        <w:autoSpaceDN w:val="0"/>
        <w:adjustRightInd w:val="0"/>
        <w:jc w:val="both"/>
        <w:rPr>
          <w:lang w:eastAsia="en-US"/>
        </w:rPr>
      </w:pPr>
    </w:p>
    <w:p w:rsidR="00756835" w:rsidRPr="00F5422D" w:rsidRDefault="00756835" w:rsidP="00CA460E">
      <w:pPr>
        <w:autoSpaceDE w:val="0"/>
        <w:autoSpaceDN w:val="0"/>
        <w:adjustRightInd w:val="0"/>
        <w:jc w:val="both"/>
        <w:rPr>
          <w:lang w:eastAsia="en-US"/>
        </w:rPr>
      </w:pPr>
      <w:r w:rsidRPr="00F5422D">
        <w:rPr>
          <w:b/>
          <w:i/>
          <w:lang w:eastAsia="en-US"/>
        </w:rPr>
        <w:t xml:space="preserve">Bilješka uz AOP 010: </w:t>
      </w:r>
      <w:r w:rsidRPr="00F5422D">
        <w:rPr>
          <w:lang w:eastAsia="en-US"/>
        </w:rPr>
        <w:t xml:space="preserve">AOP 010 bilježi porast za </w:t>
      </w:r>
      <w:r>
        <w:rPr>
          <w:lang w:eastAsia="en-US"/>
        </w:rPr>
        <w:t>5,70</w:t>
      </w:r>
      <w:r w:rsidRPr="00F5422D">
        <w:rPr>
          <w:lang w:eastAsia="en-US"/>
        </w:rPr>
        <w:t xml:space="preserve"> % u odnosu na prethodno izvještajno razdoblje, odnosno sa prijašnjih </w:t>
      </w:r>
      <w:r>
        <w:rPr>
          <w:lang w:eastAsia="en-US"/>
        </w:rPr>
        <w:t xml:space="preserve">8.703.378 </w:t>
      </w:r>
      <w:r w:rsidRPr="00F5422D">
        <w:rPr>
          <w:lang w:eastAsia="en-US"/>
        </w:rPr>
        <w:t xml:space="preserve">kn na sadašnjih </w:t>
      </w:r>
      <w:r>
        <w:rPr>
          <w:lang w:eastAsia="en-US"/>
        </w:rPr>
        <w:t>9.197.538</w:t>
      </w:r>
      <w:r w:rsidRPr="00F5422D">
        <w:rPr>
          <w:lang w:eastAsia="en-US"/>
        </w:rPr>
        <w:t xml:space="preserve"> kn. U izvještajnom razdoblju izvršeno je dodatno investicijsko ulaganje na </w:t>
      </w:r>
      <w:r>
        <w:rPr>
          <w:lang w:eastAsia="en-US"/>
        </w:rPr>
        <w:t>objektima u vlasništvu općine, izvršena je sanacija i rekonstrukcija nerazvrstanih cesta, staza i nogostupa.</w:t>
      </w:r>
    </w:p>
    <w:p w:rsidR="00756835" w:rsidRPr="0088590A" w:rsidRDefault="00756835" w:rsidP="00CA460E">
      <w:pPr>
        <w:autoSpaceDE w:val="0"/>
        <w:autoSpaceDN w:val="0"/>
        <w:adjustRightInd w:val="0"/>
        <w:jc w:val="both"/>
        <w:rPr>
          <w:lang w:eastAsia="en-US"/>
        </w:rPr>
      </w:pPr>
    </w:p>
    <w:p w:rsidR="00756835" w:rsidRDefault="00756835" w:rsidP="00CA460E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i/>
          <w:lang w:eastAsia="en-US"/>
        </w:rPr>
        <w:t>Bilješka uz AOP 063</w:t>
      </w:r>
      <w:r w:rsidRPr="001A4BCD">
        <w:rPr>
          <w:b/>
          <w:i/>
          <w:lang w:eastAsia="en-US"/>
        </w:rPr>
        <w:t xml:space="preserve"> </w:t>
      </w:r>
      <w:r>
        <w:rPr>
          <w:b/>
          <w:i/>
          <w:lang w:eastAsia="en-US"/>
        </w:rPr>
        <w:t>F</w:t>
      </w:r>
      <w:r w:rsidRPr="001A4BCD">
        <w:rPr>
          <w:b/>
          <w:i/>
          <w:lang w:eastAsia="en-US"/>
        </w:rPr>
        <w:t>inancijska imovina</w:t>
      </w:r>
      <w:r>
        <w:rPr>
          <w:lang w:eastAsia="en-US"/>
        </w:rPr>
        <w:t xml:space="preserve">: stanje na poziciji AOP 063 na dan 31. prosinca 2016. godine prikazuje pad od 3,90 % u odnosu na stanje na dan 01. siječnja 2015. godine. </w:t>
      </w:r>
    </w:p>
    <w:p w:rsidR="00756835" w:rsidRDefault="00756835" w:rsidP="00CA460E">
      <w:pPr>
        <w:autoSpaceDE w:val="0"/>
        <w:autoSpaceDN w:val="0"/>
        <w:adjustRightInd w:val="0"/>
        <w:jc w:val="both"/>
        <w:rPr>
          <w:lang w:eastAsia="en-US"/>
        </w:rPr>
      </w:pPr>
    </w:p>
    <w:p w:rsidR="00756835" w:rsidRDefault="00756835" w:rsidP="00CA460E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i/>
          <w:lang w:eastAsia="en-US"/>
        </w:rPr>
        <w:t xml:space="preserve">Bilješka uz AOP 064: </w:t>
      </w:r>
      <w:r>
        <w:rPr>
          <w:lang w:eastAsia="en-US"/>
        </w:rPr>
        <w:t>do većih odstupanja u okviru Financijske imovine prikazuje AOP 064 iz kojeg je vidljivo da novčana sredstva na kraju izvještajne godine manja su u odnosu na početak godine za 87,10 %.  Novčana sredstva u banci i blagajni iznose 34.723 kn i odgovaraju stanju prema izvodu žiro računa i saldu blagajne na  dan 31. prosinca 2016. godine.</w:t>
      </w:r>
    </w:p>
    <w:p w:rsidR="00756835" w:rsidRDefault="00756835" w:rsidP="00CA460E">
      <w:pPr>
        <w:autoSpaceDE w:val="0"/>
        <w:autoSpaceDN w:val="0"/>
        <w:adjustRightInd w:val="0"/>
        <w:jc w:val="both"/>
        <w:rPr>
          <w:lang w:eastAsia="en-US"/>
        </w:rPr>
      </w:pPr>
    </w:p>
    <w:p w:rsidR="00756835" w:rsidRPr="003D57F8" w:rsidRDefault="00756835" w:rsidP="00CA460E">
      <w:pPr>
        <w:autoSpaceDE w:val="0"/>
        <w:autoSpaceDN w:val="0"/>
        <w:adjustRightInd w:val="0"/>
        <w:jc w:val="both"/>
        <w:rPr>
          <w:lang w:eastAsia="en-US"/>
        </w:rPr>
      </w:pPr>
      <w:r w:rsidRPr="003D57F8">
        <w:rPr>
          <w:b/>
          <w:i/>
          <w:lang w:eastAsia="en-US"/>
        </w:rPr>
        <w:t xml:space="preserve">Bilješka uz AOP 140:  </w:t>
      </w:r>
      <w:r w:rsidRPr="003D57F8">
        <w:rPr>
          <w:lang w:eastAsia="en-US"/>
        </w:rPr>
        <w:t xml:space="preserve">AOP 140 prikazuje povećanje potraživanja za prihode poslovanja za </w:t>
      </w:r>
      <w:r>
        <w:rPr>
          <w:lang w:eastAsia="en-US"/>
        </w:rPr>
        <w:t>9,10</w:t>
      </w:r>
      <w:r w:rsidRPr="003D57F8">
        <w:rPr>
          <w:lang w:eastAsia="en-US"/>
        </w:rPr>
        <w:t xml:space="preserve"> % u odnosu na prethodno izvještajno razdoblje. Najveći porast bilježe potraživanja po osnovi </w:t>
      </w:r>
      <w:r>
        <w:rPr>
          <w:lang w:eastAsia="en-US"/>
        </w:rPr>
        <w:t xml:space="preserve">administrativnih i upravnih pristojbi. Pod navedenim potraživanjima spadaju potraživanja za komunalnu naknadu, komunalni doprinos, šumski i vodni doprinos te ostale slične naknade. </w:t>
      </w:r>
    </w:p>
    <w:p w:rsidR="00756835" w:rsidRDefault="00756835" w:rsidP="00EE0718">
      <w:pPr>
        <w:autoSpaceDE w:val="0"/>
        <w:autoSpaceDN w:val="0"/>
        <w:adjustRightInd w:val="0"/>
        <w:jc w:val="both"/>
        <w:rPr>
          <w:lang w:eastAsia="en-US"/>
        </w:rPr>
      </w:pPr>
    </w:p>
    <w:p w:rsidR="00756835" w:rsidRPr="00DD4B37" w:rsidRDefault="00756835" w:rsidP="00EE0718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i/>
          <w:lang w:eastAsia="en-US"/>
        </w:rPr>
        <w:t>Bilješka uz AOP 163</w:t>
      </w:r>
      <w:r w:rsidRPr="001A4BCD">
        <w:rPr>
          <w:b/>
          <w:i/>
          <w:lang w:eastAsia="en-US"/>
        </w:rPr>
        <w:t xml:space="preserve"> </w:t>
      </w:r>
      <w:r>
        <w:rPr>
          <w:b/>
          <w:i/>
          <w:lang w:eastAsia="en-US"/>
        </w:rPr>
        <w:t xml:space="preserve">Obveze: </w:t>
      </w:r>
      <w:r>
        <w:rPr>
          <w:lang w:eastAsia="en-US"/>
        </w:rPr>
        <w:t xml:space="preserve">stanje pozicije AOP 163 prikazuje smanjenje obveza za 34,60 % u odnosu na dan 01. siječnja 2016. godine. Stanje obveza na dan 31. prosinca 2016. godine </w:t>
      </w:r>
      <w:r w:rsidRPr="00DD4B37">
        <w:rPr>
          <w:lang w:eastAsia="en-US"/>
        </w:rPr>
        <w:t xml:space="preserve">iznosi </w:t>
      </w:r>
      <w:r>
        <w:rPr>
          <w:lang w:eastAsia="en-US"/>
        </w:rPr>
        <w:t>664.737</w:t>
      </w:r>
      <w:r w:rsidRPr="00DD4B37">
        <w:rPr>
          <w:lang w:eastAsia="en-US"/>
        </w:rPr>
        <w:t xml:space="preserve"> kn. Iznos od </w:t>
      </w:r>
      <w:r>
        <w:rPr>
          <w:lang w:eastAsia="en-US"/>
        </w:rPr>
        <w:t>171.904</w:t>
      </w:r>
      <w:r w:rsidRPr="00DD4B37">
        <w:rPr>
          <w:lang w:eastAsia="en-US"/>
        </w:rPr>
        <w:t xml:space="preserve"> kn odnosi se na nedospjele obveze po osnovi rashoda za zaposlene i materijalnih rashoda poslovanja. Iznos od </w:t>
      </w:r>
      <w:r>
        <w:rPr>
          <w:lang w:eastAsia="en-US"/>
        </w:rPr>
        <w:t>492.834</w:t>
      </w:r>
      <w:r w:rsidRPr="00DD4B37">
        <w:rPr>
          <w:lang w:eastAsia="en-US"/>
        </w:rPr>
        <w:t xml:space="preserve"> kn odnosi se na dospjele obveze.</w:t>
      </w:r>
      <w:r>
        <w:rPr>
          <w:lang w:eastAsia="en-US"/>
        </w:rPr>
        <w:t xml:space="preserve"> Najveći iznos otpada na rekonstrukciju nogostupa, te sanaciju pješačkih staza koji će se podmiriti u narednom periodu.</w:t>
      </w:r>
    </w:p>
    <w:p w:rsidR="00756835" w:rsidRPr="008E580C" w:rsidRDefault="00756835" w:rsidP="00EE0718">
      <w:pPr>
        <w:autoSpaceDE w:val="0"/>
        <w:autoSpaceDN w:val="0"/>
        <w:adjustRightInd w:val="0"/>
        <w:jc w:val="both"/>
        <w:rPr>
          <w:lang w:eastAsia="en-US"/>
        </w:rPr>
      </w:pPr>
    </w:p>
    <w:p w:rsidR="00756835" w:rsidRPr="008E580C" w:rsidRDefault="00756835" w:rsidP="00B450AD">
      <w:pPr>
        <w:autoSpaceDE w:val="0"/>
        <w:autoSpaceDN w:val="0"/>
        <w:adjustRightInd w:val="0"/>
        <w:jc w:val="both"/>
        <w:rPr>
          <w:lang w:eastAsia="en-US"/>
        </w:rPr>
      </w:pPr>
      <w:r w:rsidRPr="008E580C">
        <w:rPr>
          <w:b/>
          <w:i/>
          <w:lang w:eastAsia="en-US"/>
        </w:rPr>
        <w:t xml:space="preserve">Bilješka uz AOP 233 i 237 Rezultat poslovanja: </w:t>
      </w:r>
      <w:r w:rsidRPr="008E580C">
        <w:rPr>
          <w:lang w:eastAsia="en-US"/>
        </w:rPr>
        <w:t xml:space="preserve">Na kraju izvještajnog razdoblja ostvaren je višak prihoda poslovanja u iznosu od </w:t>
      </w:r>
      <w:r>
        <w:rPr>
          <w:lang w:eastAsia="en-US"/>
        </w:rPr>
        <w:t>1.280.265</w:t>
      </w:r>
      <w:r w:rsidRPr="008E580C">
        <w:rPr>
          <w:lang w:eastAsia="en-US"/>
        </w:rPr>
        <w:t xml:space="preserve"> kn koji pribrojen s prenesenim viškom iz 2015. godine u iznosu od </w:t>
      </w:r>
      <w:r>
        <w:rPr>
          <w:lang w:eastAsia="en-US"/>
        </w:rPr>
        <w:t>5.716.892</w:t>
      </w:r>
      <w:r w:rsidRPr="008E580C">
        <w:rPr>
          <w:lang w:eastAsia="en-US"/>
        </w:rPr>
        <w:t xml:space="preserve"> kn daje ukupni višak prihoda poslovanja raspoloživ u sljedećem razdoblju u iznosu od </w:t>
      </w:r>
      <w:r>
        <w:rPr>
          <w:lang w:eastAsia="en-US"/>
        </w:rPr>
        <w:t>6.997.157</w:t>
      </w:r>
      <w:r w:rsidRPr="008E580C">
        <w:rPr>
          <w:lang w:eastAsia="en-US"/>
        </w:rPr>
        <w:t xml:space="preserve"> kn. </w:t>
      </w:r>
    </w:p>
    <w:p w:rsidR="00756835" w:rsidRDefault="00756835" w:rsidP="00B450AD">
      <w:pPr>
        <w:autoSpaceDE w:val="0"/>
        <w:autoSpaceDN w:val="0"/>
        <w:adjustRightInd w:val="0"/>
        <w:jc w:val="both"/>
        <w:rPr>
          <w:color w:val="FF0000"/>
          <w:lang w:eastAsia="en-US"/>
        </w:rPr>
      </w:pPr>
    </w:p>
    <w:p w:rsidR="00756835" w:rsidRDefault="00756835" w:rsidP="00B450AD">
      <w:pPr>
        <w:autoSpaceDE w:val="0"/>
        <w:autoSpaceDN w:val="0"/>
        <w:adjustRightInd w:val="0"/>
        <w:jc w:val="both"/>
        <w:rPr>
          <w:lang w:eastAsia="en-US"/>
        </w:rPr>
      </w:pPr>
      <w:r w:rsidRPr="00555650">
        <w:rPr>
          <w:lang w:eastAsia="en-US"/>
        </w:rPr>
        <w:t xml:space="preserve">Na kraju izvještajnog razdoblja ostvaren je </w:t>
      </w:r>
      <w:r>
        <w:rPr>
          <w:lang w:eastAsia="en-US"/>
        </w:rPr>
        <w:t>manjak</w:t>
      </w:r>
      <w:r w:rsidRPr="00555650">
        <w:rPr>
          <w:lang w:eastAsia="en-US"/>
        </w:rPr>
        <w:t xml:space="preserve"> prihoda od nefinacijske imovine u iznosu od </w:t>
      </w:r>
      <w:r>
        <w:rPr>
          <w:lang w:eastAsia="en-US"/>
        </w:rPr>
        <w:t>1.146.998</w:t>
      </w:r>
      <w:r w:rsidRPr="00555650">
        <w:rPr>
          <w:lang w:eastAsia="en-US"/>
        </w:rPr>
        <w:t xml:space="preserve"> kn koji pribrojen s prenesenim manjkom iz 2015. godine u iznosu od </w:t>
      </w:r>
      <w:r>
        <w:rPr>
          <w:lang w:eastAsia="en-US"/>
        </w:rPr>
        <w:t>6.497.865</w:t>
      </w:r>
      <w:r w:rsidRPr="00555650">
        <w:rPr>
          <w:lang w:eastAsia="en-US"/>
        </w:rPr>
        <w:t xml:space="preserve"> kn daje manjak prihoda od nefinancijske imovine za pokriće u sljedećem razdoblju u iznosu od </w:t>
      </w:r>
      <w:r>
        <w:rPr>
          <w:lang w:eastAsia="en-US"/>
        </w:rPr>
        <w:t>7.644.863</w:t>
      </w:r>
      <w:r w:rsidRPr="00555650">
        <w:rPr>
          <w:lang w:eastAsia="en-US"/>
        </w:rPr>
        <w:t xml:space="preserve"> kn. </w:t>
      </w:r>
    </w:p>
    <w:p w:rsidR="00756835" w:rsidRDefault="00756835" w:rsidP="00B450AD">
      <w:pPr>
        <w:autoSpaceDE w:val="0"/>
        <w:autoSpaceDN w:val="0"/>
        <w:adjustRightInd w:val="0"/>
        <w:jc w:val="both"/>
        <w:rPr>
          <w:lang w:eastAsia="en-US"/>
        </w:rPr>
      </w:pPr>
    </w:p>
    <w:p w:rsidR="00756835" w:rsidRPr="00555650" w:rsidRDefault="00756835" w:rsidP="00B450AD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lastRenderedPageBreak/>
        <w:t xml:space="preserve">U izvještajnom razdoblju </w:t>
      </w:r>
      <w:r w:rsidRPr="006764A2">
        <w:rPr>
          <w:lang w:eastAsia="en-US"/>
        </w:rPr>
        <w:t>Općina se nije zaduživala kod kreditnih institucija i drugih pravnih subjekata</w:t>
      </w:r>
      <w:r>
        <w:rPr>
          <w:lang w:eastAsia="en-US"/>
        </w:rPr>
        <w:t xml:space="preserve"> te iz tog razloga nije bilo promjena po osnovi financijske imovine niti prijenosa rezultata iz prijašnjeg razdoblja.</w:t>
      </w:r>
    </w:p>
    <w:p w:rsidR="00756835" w:rsidRDefault="00756835" w:rsidP="004B5D07">
      <w:pPr>
        <w:autoSpaceDE w:val="0"/>
        <w:autoSpaceDN w:val="0"/>
        <w:adjustRightInd w:val="0"/>
        <w:jc w:val="both"/>
        <w:rPr>
          <w:lang w:eastAsia="en-US"/>
        </w:rPr>
      </w:pPr>
    </w:p>
    <w:p w:rsidR="00756835" w:rsidRDefault="00756835" w:rsidP="004B5D07">
      <w:pPr>
        <w:autoSpaceDE w:val="0"/>
        <w:autoSpaceDN w:val="0"/>
        <w:adjustRightInd w:val="0"/>
        <w:jc w:val="both"/>
        <w:rPr>
          <w:lang w:eastAsia="en-US"/>
        </w:rPr>
      </w:pPr>
    </w:p>
    <w:p w:rsidR="00756835" w:rsidRDefault="00756835" w:rsidP="004B5D07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Nakon utvrđivanja rezultata izvršena je korekcija za kapitalne pomoći realiziranih iz državnog i županijskih proračuna, i to u iznosu od </w:t>
      </w:r>
      <w:r w:rsidRPr="00E96350">
        <w:rPr>
          <w:lang w:eastAsia="en-US"/>
        </w:rPr>
        <w:t xml:space="preserve">721.929 </w:t>
      </w:r>
      <w:r>
        <w:rPr>
          <w:lang w:eastAsia="en-US"/>
        </w:rPr>
        <w:t>kn.</w:t>
      </w:r>
    </w:p>
    <w:p w:rsidR="00756835" w:rsidRPr="0077201A" w:rsidRDefault="00756835" w:rsidP="004B5D07">
      <w:pPr>
        <w:autoSpaceDE w:val="0"/>
        <w:autoSpaceDN w:val="0"/>
        <w:adjustRightInd w:val="0"/>
        <w:jc w:val="both"/>
        <w:rPr>
          <w:lang w:eastAsia="en-US"/>
        </w:rPr>
      </w:pPr>
    </w:p>
    <w:p w:rsidR="00756835" w:rsidRDefault="00756835" w:rsidP="0077201A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>Temeljem članka 14</w:t>
      </w:r>
      <w:r w:rsidRPr="0077201A">
        <w:rPr>
          <w:b/>
          <w:bCs/>
          <w:lang w:eastAsia="en-US"/>
        </w:rPr>
        <w:t xml:space="preserve">. Pravilnika o financijskom izvještavanju </w:t>
      </w:r>
      <w:r>
        <w:rPr>
          <w:b/>
          <w:bCs/>
          <w:lang w:eastAsia="en-US"/>
        </w:rPr>
        <w:t xml:space="preserve">u nastavku </w:t>
      </w:r>
      <w:r w:rsidRPr="0077201A">
        <w:rPr>
          <w:b/>
          <w:bCs/>
          <w:lang w:eastAsia="en-US"/>
        </w:rPr>
        <w:t>daje se pregled stanja i</w:t>
      </w:r>
      <w:r>
        <w:rPr>
          <w:b/>
          <w:bCs/>
          <w:lang w:eastAsia="en-US"/>
        </w:rPr>
        <w:t xml:space="preserve"> </w:t>
      </w:r>
      <w:r w:rsidRPr="0077201A">
        <w:rPr>
          <w:b/>
          <w:bCs/>
          <w:lang w:eastAsia="en-US"/>
        </w:rPr>
        <w:t>rokova dosp</w:t>
      </w:r>
      <w:r>
        <w:rPr>
          <w:b/>
          <w:bCs/>
          <w:lang w:eastAsia="en-US"/>
        </w:rPr>
        <w:t>i</w:t>
      </w:r>
      <w:r w:rsidRPr="0077201A">
        <w:rPr>
          <w:b/>
          <w:bCs/>
          <w:lang w:eastAsia="en-US"/>
        </w:rPr>
        <w:t>jeća dugoročnih i kratkoročnih zajmova, robnih</w:t>
      </w:r>
      <w:r>
        <w:rPr>
          <w:b/>
          <w:bCs/>
          <w:lang w:eastAsia="en-US"/>
        </w:rPr>
        <w:t xml:space="preserve"> kredita i financijskih najmova (leasing</w:t>
      </w:r>
      <w:r w:rsidRPr="0077201A">
        <w:rPr>
          <w:b/>
          <w:bCs/>
          <w:lang w:eastAsia="en-US"/>
        </w:rPr>
        <w:t>)</w:t>
      </w:r>
      <w:r>
        <w:rPr>
          <w:lang w:eastAsia="en-US"/>
        </w:rPr>
        <w:t>:</w:t>
      </w:r>
    </w:p>
    <w:p w:rsidR="00756835" w:rsidRPr="0077201A" w:rsidRDefault="00756835" w:rsidP="0077201A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756835" w:rsidRDefault="00756835" w:rsidP="0077201A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lang w:eastAsia="en-US"/>
        </w:rPr>
      </w:pPr>
      <w:r w:rsidRPr="0077201A">
        <w:rPr>
          <w:lang w:eastAsia="en-US"/>
        </w:rPr>
        <w:t>Tablica 1 – Dani zajmovi i primljene otplate</w:t>
      </w:r>
    </w:p>
    <w:p w:rsidR="00756835" w:rsidRDefault="00756835" w:rsidP="0077201A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lang w:eastAsia="en-US"/>
        </w:rPr>
      </w:pPr>
      <w:r w:rsidRPr="0077201A">
        <w:rPr>
          <w:lang w:eastAsia="en-US"/>
        </w:rPr>
        <w:t>Tablica 2 – Primljeni krediti i zajmovi te otplate</w:t>
      </w:r>
    </w:p>
    <w:p w:rsidR="00756835" w:rsidRDefault="00756835" w:rsidP="0077201A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lang w:eastAsia="en-US"/>
        </w:rPr>
      </w:pPr>
      <w:r w:rsidRPr="0077201A">
        <w:rPr>
          <w:lang w:eastAsia="en-US"/>
        </w:rPr>
        <w:t>Tablica 3 – Primljeni robni zajmovi i financijski najmovi</w:t>
      </w:r>
    </w:p>
    <w:p w:rsidR="00756835" w:rsidRPr="00101E21" w:rsidRDefault="00756835" w:rsidP="00101E21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lang w:eastAsia="en-US"/>
        </w:rPr>
      </w:pPr>
      <w:r w:rsidRPr="0077201A">
        <w:rPr>
          <w:lang w:eastAsia="en-US"/>
        </w:rPr>
        <w:t>Tablica 4 – Dospjele kamate na kredite i zajmove</w:t>
      </w:r>
    </w:p>
    <w:p w:rsidR="00756835" w:rsidRDefault="00756835" w:rsidP="00EE0718">
      <w:pPr>
        <w:spacing w:line="360" w:lineRule="auto"/>
        <w:jc w:val="both"/>
        <w:rPr>
          <w:lang w:eastAsia="en-US"/>
        </w:rPr>
      </w:pPr>
    </w:p>
    <w:p w:rsidR="00756835" w:rsidRDefault="00756835" w:rsidP="00EE0718">
      <w:pPr>
        <w:spacing w:line="360" w:lineRule="auto"/>
        <w:jc w:val="both"/>
        <w:rPr>
          <w:lang w:eastAsia="en-US"/>
        </w:rPr>
        <w:sectPr w:rsidR="00756835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533" w:type="dxa"/>
        <w:jc w:val="center"/>
        <w:tblLook w:val="00A0"/>
      </w:tblPr>
      <w:tblGrid>
        <w:gridCol w:w="650"/>
        <w:gridCol w:w="1705"/>
        <w:gridCol w:w="1614"/>
        <w:gridCol w:w="1276"/>
        <w:gridCol w:w="1760"/>
        <w:gridCol w:w="1760"/>
        <w:gridCol w:w="1760"/>
        <w:gridCol w:w="2290"/>
        <w:gridCol w:w="1172"/>
        <w:gridCol w:w="1535"/>
        <w:gridCol w:w="11"/>
      </w:tblGrid>
      <w:tr w:rsidR="00756835" w:rsidTr="00211785">
        <w:trPr>
          <w:gridAfter w:val="1"/>
          <w:wAfter w:w="11" w:type="dxa"/>
          <w:trHeight w:val="30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6835" w:rsidRDefault="00756835">
            <w:pPr>
              <w:rPr>
                <w:sz w:val="20"/>
                <w:szCs w:val="20"/>
              </w:rPr>
            </w:pPr>
            <w:bookmarkStart w:id="0" w:name="RANGE!A1:J27"/>
            <w:bookmarkEnd w:id="0"/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6835" w:rsidRDefault="00756835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6835" w:rsidRDefault="0075683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6835" w:rsidRDefault="00756835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6835" w:rsidRDefault="00756835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6835" w:rsidRDefault="00756835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6835" w:rsidRDefault="00756835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6835" w:rsidRDefault="00756835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6835" w:rsidRDefault="00756835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6835" w:rsidRDefault="00756835">
            <w:pPr>
              <w:rPr>
                <w:sz w:val="20"/>
                <w:szCs w:val="20"/>
              </w:rPr>
            </w:pPr>
          </w:p>
        </w:tc>
      </w:tr>
      <w:tr w:rsidR="00756835" w:rsidTr="00211785">
        <w:trPr>
          <w:gridAfter w:val="1"/>
          <w:wAfter w:w="11" w:type="dxa"/>
          <w:trHeight w:val="435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6835" w:rsidRDefault="007568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</w:tcPr>
          <w:p w:rsidR="00756835" w:rsidRDefault="00756835" w:rsidP="00D623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OPĆINA VLADISLAVCI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6835" w:rsidRDefault="00756835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</w:tcPr>
          <w:p w:rsidR="00756835" w:rsidRDefault="0075683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17797796502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</w:tcPr>
          <w:p w:rsidR="00756835" w:rsidRDefault="0075683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37033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</w:tcPr>
          <w:p w:rsidR="00756835" w:rsidRDefault="0075683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Kralja Tomislava 141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6835" w:rsidRDefault="00756835">
            <w:pPr>
              <w:rPr>
                <w:b/>
                <w:bCs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6835" w:rsidRDefault="00756835">
            <w:pPr>
              <w:rPr>
                <w:sz w:val="20"/>
                <w:szCs w:val="20"/>
              </w:rPr>
            </w:pPr>
          </w:p>
        </w:tc>
      </w:tr>
      <w:tr w:rsidR="00756835" w:rsidTr="00211785">
        <w:trPr>
          <w:gridAfter w:val="1"/>
          <w:wAfter w:w="11" w:type="dxa"/>
          <w:trHeight w:val="30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6835" w:rsidRDefault="007568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6835" w:rsidRDefault="00756835">
            <w:r>
              <w:rPr>
                <w:sz w:val="22"/>
                <w:szCs w:val="22"/>
              </w:rPr>
              <w:t>Naziv proračuna, proračunskog i izvanproračunskog korisnika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6835" w:rsidRDefault="00756835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6835" w:rsidRDefault="00756835">
            <w:pPr>
              <w:jc w:val="center"/>
            </w:pPr>
            <w:r>
              <w:rPr>
                <w:sz w:val="22"/>
                <w:szCs w:val="22"/>
              </w:rPr>
              <w:t>OIB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6835" w:rsidRDefault="00756835">
            <w:pPr>
              <w:jc w:val="center"/>
            </w:pPr>
            <w:r>
              <w:rPr>
                <w:sz w:val="22"/>
                <w:szCs w:val="22"/>
              </w:rPr>
              <w:t>RKP BROJ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6835" w:rsidRDefault="00756835">
            <w:pPr>
              <w:jc w:val="center"/>
            </w:pPr>
            <w:r>
              <w:rPr>
                <w:sz w:val="22"/>
                <w:szCs w:val="22"/>
              </w:rPr>
              <w:t>Adresa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6835" w:rsidRDefault="00756835">
            <w:pPr>
              <w:jc w:val="center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6835" w:rsidRDefault="00756835">
            <w:pPr>
              <w:rPr>
                <w:sz w:val="20"/>
                <w:szCs w:val="20"/>
              </w:rPr>
            </w:pPr>
          </w:p>
        </w:tc>
      </w:tr>
      <w:tr w:rsidR="00756835" w:rsidTr="00211785">
        <w:trPr>
          <w:gridAfter w:val="1"/>
          <w:wAfter w:w="11" w:type="dxa"/>
          <w:trHeight w:val="30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6835" w:rsidRDefault="00756835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6835" w:rsidRDefault="00756835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6835" w:rsidRDefault="0075683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6835" w:rsidRDefault="00756835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6835" w:rsidRDefault="00756835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6835" w:rsidRDefault="00756835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6835" w:rsidRDefault="00756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6835" w:rsidRDefault="00756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6835" w:rsidRDefault="00756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6835" w:rsidRDefault="00756835">
            <w:pPr>
              <w:rPr>
                <w:sz w:val="20"/>
                <w:szCs w:val="20"/>
              </w:rPr>
            </w:pPr>
          </w:p>
        </w:tc>
      </w:tr>
      <w:tr w:rsidR="00756835" w:rsidTr="00566431">
        <w:trPr>
          <w:trHeight w:val="405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6835" w:rsidRDefault="00756835">
            <w:pPr>
              <w:rPr>
                <w:sz w:val="20"/>
                <w:szCs w:val="20"/>
              </w:rPr>
            </w:pPr>
          </w:p>
        </w:tc>
        <w:tc>
          <w:tcPr>
            <w:tcW w:w="1488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6835" w:rsidRDefault="00756835">
            <w:pPr>
              <w:rPr>
                <w:b/>
                <w:bCs/>
              </w:rPr>
            </w:pPr>
            <w:r>
              <w:rPr>
                <w:b/>
                <w:bCs/>
              </w:rPr>
              <w:t>Tablica 1: Dani zajmovi i primljene otplate</w:t>
            </w:r>
          </w:p>
        </w:tc>
      </w:tr>
      <w:tr w:rsidR="00756835" w:rsidTr="00211785">
        <w:trPr>
          <w:gridAfter w:val="1"/>
          <w:wAfter w:w="11" w:type="dxa"/>
          <w:trHeight w:val="97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56835" w:rsidRDefault="007568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Red.</w:t>
            </w:r>
            <w:r>
              <w:rPr>
                <w:b/>
                <w:bCs/>
                <w:sz w:val="22"/>
                <w:szCs w:val="22"/>
              </w:rPr>
              <w:br/>
              <w:t>br.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756835" w:rsidRDefault="007568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Vrsta zajmova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56835" w:rsidRDefault="007568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Naziv pravne osobe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56835" w:rsidRDefault="007568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Stanje zajma 1.1.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56835" w:rsidRDefault="007568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Primljene  otplate  glavnice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56835" w:rsidRDefault="007568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Dani zajmovi u tekućoj godini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56835" w:rsidRDefault="007568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Stanje zajma           31. 12.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56835" w:rsidRDefault="007568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Revalorizacija/ tečajne razlike u tekućoj godini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56835" w:rsidRDefault="007568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Datum izdavanja zajma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56835" w:rsidRDefault="007568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Datum dospijeća zajma</w:t>
            </w:r>
          </w:p>
        </w:tc>
      </w:tr>
      <w:tr w:rsidR="00756835" w:rsidTr="00211785">
        <w:trPr>
          <w:gridAfter w:val="1"/>
          <w:wAfter w:w="11" w:type="dxa"/>
          <w:trHeight w:val="330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56835" w:rsidRDefault="007568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56835" w:rsidRDefault="00756835">
            <w:pPr>
              <w:jc w:val="center"/>
            </w:pPr>
            <w:r>
              <w:rPr>
                <w:sz w:val="22"/>
                <w:szCs w:val="22"/>
              </w:rPr>
              <w:t>Tuzemni kratkoročni zajmovi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</w:tr>
      <w:tr w:rsidR="00756835" w:rsidTr="00211785">
        <w:trPr>
          <w:gridAfter w:val="1"/>
          <w:wAfter w:w="11" w:type="dxa"/>
          <w:trHeight w:val="30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835" w:rsidRDefault="00756835">
            <w:pPr>
              <w:rPr>
                <w:b/>
                <w:bCs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56835" w:rsidRDefault="00756835"/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</w:tr>
      <w:tr w:rsidR="00756835" w:rsidTr="00211785">
        <w:trPr>
          <w:gridAfter w:val="1"/>
          <w:wAfter w:w="11" w:type="dxa"/>
          <w:trHeight w:val="30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835" w:rsidRDefault="00756835">
            <w:pPr>
              <w:rPr>
                <w:b/>
                <w:bCs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56835" w:rsidRDefault="00756835"/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</w:tr>
      <w:tr w:rsidR="00756835" w:rsidTr="00566431">
        <w:trPr>
          <w:gridAfter w:val="1"/>
          <w:wAfter w:w="11" w:type="dxa"/>
          <w:trHeight w:val="30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835" w:rsidRDefault="00756835">
            <w:pPr>
              <w:rPr>
                <w:b/>
                <w:bCs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56835" w:rsidRDefault="00756835"/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756835" w:rsidRDefault="007568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756835" w:rsidRDefault="007568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756835" w:rsidRDefault="007568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756835" w:rsidRDefault="007568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:rsidR="00756835" w:rsidRDefault="0075683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756835" w:rsidTr="00211785">
        <w:trPr>
          <w:gridAfter w:val="1"/>
          <w:wAfter w:w="11" w:type="dxa"/>
          <w:trHeight w:val="330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56835" w:rsidRDefault="007568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Default="00756835">
            <w:pPr>
              <w:jc w:val="center"/>
            </w:pPr>
            <w:r>
              <w:rPr>
                <w:sz w:val="22"/>
                <w:szCs w:val="22"/>
              </w:rPr>
              <w:t>Tuzemni dugoročni zajmovi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</w:tr>
      <w:tr w:rsidR="00756835" w:rsidTr="00211785">
        <w:trPr>
          <w:gridAfter w:val="1"/>
          <w:wAfter w:w="11" w:type="dxa"/>
          <w:trHeight w:val="30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835" w:rsidRDefault="00756835">
            <w:pPr>
              <w:rPr>
                <w:b/>
                <w:bCs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Default="00756835"/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</w:tr>
      <w:tr w:rsidR="00756835" w:rsidTr="00211785">
        <w:trPr>
          <w:gridAfter w:val="1"/>
          <w:wAfter w:w="11" w:type="dxa"/>
          <w:trHeight w:val="30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835" w:rsidRDefault="00756835">
            <w:pPr>
              <w:rPr>
                <w:b/>
                <w:bCs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Default="00756835"/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</w:tr>
      <w:tr w:rsidR="00756835" w:rsidTr="00566431">
        <w:trPr>
          <w:gridAfter w:val="1"/>
          <w:wAfter w:w="11" w:type="dxa"/>
          <w:trHeight w:val="30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835" w:rsidRDefault="00756835">
            <w:pPr>
              <w:rPr>
                <w:b/>
                <w:bCs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Default="00756835"/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756835" w:rsidRDefault="007568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756835" w:rsidRDefault="007568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756835" w:rsidRDefault="007568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756835" w:rsidRDefault="007568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9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756835" w:rsidRDefault="0075683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756835" w:rsidTr="00566431">
        <w:trPr>
          <w:gridAfter w:val="1"/>
          <w:wAfter w:w="11" w:type="dxa"/>
          <w:trHeight w:val="300"/>
          <w:jc w:val="center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6835" w:rsidRDefault="007568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UKUPNO (1+2)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756835" w:rsidRDefault="007568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756835" w:rsidRDefault="007568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756835" w:rsidRDefault="007568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756835" w:rsidRDefault="007568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9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56835" w:rsidRDefault="00756835"/>
        </w:tc>
      </w:tr>
      <w:tr w:rsidR="00756835" w:rsidTr="00211785">
        <w:trPr>
          <w:gridAfter w:val="1"/>
          <w:wAfter w:w="11" w:type="dxa"/>
          <w:trHeight w:val="330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56835" w:rsidRDefault="007568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Default="00756835">
            <w:pPr>
              <w:jc w:val="center"/>
            </w:pPr>
            <w:r>
              <w:rPr>
                <w:sz w:val="22"/>
                <w:szCs w:val="22"/>
              </w:rPr>
              <w:t>Inozemni kratkoročni zajmovi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</w:tr>
      <w:tr w:rsidR="00756835" w:rsidTr="00211785">
        <w:trPr>
          <w:gridAfter w:val="1"/>
          <w:wAfter w:w="11" w:type="dxa"/>
          <w:trHeight w:val="30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835" w:rsidRDefault="00756835">
            <w:pPr>
              <w:rPr>
                <w:b/>
                <w:bCs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Default="00756835"/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</w:tr>
      <w:tr w:rsidR="00756835" w:rsidTr="00211785">
        <w:trPr>
          <w:gridAfter w:val="1"/>
          <w:wAfter w:w="11" w:type="dxa"/>
          <w:trHeight w:val="30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835" w:rsidRDefault="00756835">
            <w:pPr>
              <w:rPr>
                <w:b/>
                <w:bCs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Default="00756835"/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</w:tr>
      <w:tr w:rsidR="00756835" w:rsidTr="00211785">
        <w:trPr>
          <w:gridAfter w:val="1"/>
          <w:wAfter w:w="11" w:type="dxa"/>
          <w:trHeight w:val="30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835" w:rsidRDefault="00756835">
            <w:pPr>
              <w:rPr>
                <w:b/>
                <w:bCs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Default="00756835"/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756835" w:rsidRDefault="007568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756835" w:rsidRDefault="007568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756835" w:rsidRDefault="007568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756835" w:rsidRDefault="007568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</w:tr>
      <w:tr w:rsidR="00756835" w:rsidTr="00211785">
        <w:trPr>
          <w:gridAfter w:val="1"/>
          <w:wAfter w:w="11" w:type="dxa"/>
          <w:trHeight w:val="330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56835" w:rsidRDefault="007568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Default="00756835">
            <w:pPr>
              <w:jc w:val="center"/>
            </w:pPr>
            <w:r>
              <w:rPr>
                <w:sz w:val="22"/>
                <w:szCs w:val="22"/>
              </w:rPr>
              <w:t>Inozemni dugoročni zajmovi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</w:tr>
      <w:tr w:rsidR="00756835" w:rsidTr="00211785">
        <w:trPr>
          <w:gridAfter w:val="1"/>
          <w:wAfter w:w="11" w:type="dxa"/>
          <w:trHeight w:val="30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835" w:rsidRDefault="00756835">
            <w:pPr>
              <w:rPr>
                <w:b/>
                <w:bCs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Default="00756835"/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</w:tr>
      <w:tr w:rsidR="00756835" w:rsidTr="00211785">
        <w:trPr>
          <w:gridAfter w:val="1"/>
          <w:wAfter w:w="11" w:type="dxa"/>
          <w:trHeight w:val="30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835" w:rsidRDefault="00756835">
            <w:pPr>
              <w:rPr>
                <w:b/>
                <w:bCs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Default="00756835"/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r>
              <w:rPr>
                <w:sz w:val="22"/>
                <w:szCs w:val="22"/>
              </w:rPr>
              <w:t> </w:t>
            </w:r>
          </w:p>
        </w:tc>
      </w:tr>
      <w:tr w:rsidR="00756835" w:rsidTr="00566431">
        <w:trPr>
          <w:gridAfter w:val="1"/>
          <w:wAfter w:w="11" w:type="dxa"/>
          <w:trHeight w:val="30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835" w:rsidRDefault="00756835">
            <w:pPr>
              <w:rPr>
                <w:b/>
                <w:bCs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Default="00756835"/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Default="007568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</w:tcPr>
          <w:p w:rsidR="00756835" w:rsidRDefault="007568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</w:tcPr>
          <w:p w:rsidR="00756835" w:rsidRDefault="007568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</w:tcPr>
          <w:p w:rsidR="00756835" w:rsidRDefault="007568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</w:tcPr>
          <w:p w:rsidR="00756835" w:rsidRDefault="007568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9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756835" w:rsidRDefault="0075683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756835" w:rsidTr="00566431">
        <w:trPr>
          <w:gridAfter w:val="1"/>
          <w:wAfter w:w="11" w:type="dxa"/>
          <w:trHeight w:val="300"/>
          <w:jc w:val="center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56835" w:rsidRDefault="007568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UKUPNO (3+4)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</w:tcPr>
          <w:p w:rsidR="00756835" w:rsidRDefault="007568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</w:tcPr>
          <w:p w:rsidR="00756835" w:rsidRDefault="007568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</w:tcPr>
          <w:p w:rsidR="00756835" w:rsidRDefault="007568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</w:tcPr>
          <w:p w:rsidR="00756835" w:rsidRDefault="007568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9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Default="00756835"/>
        </w:tc>
      </w:tr>
      <w:tr w:rsidR="00756835" w:rsidTr="00566431">
        <w:trPr>
          <w:gridAfter w:val="1"/>
          <w:wAfter w:w="11" w:type="dxa"/>
          <w:trHeight w:val="300"/>
          <w:jc w:val="center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56835" w:rsidRDefault="007568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UKUPNO (1+2+3+4)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</w:tcPr>
          <w:p w:rsidR="00756835" w:rsidRDefault="007568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</w:tcPr>
          <w:p w:rsidR="00756835" w:rsidRDefault="007568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</w:tcPr>
          <w:p w:rsidR="00756835" w:rsidRDefault="007568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</w:tcPr>
          <w:p w:rsidR="00756835" w:rsidRDefault="007568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9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Default="00756835"/>
        </w:tc>
      </w:tr>
    </w:tbl>
    <w:p w:rsidR="00756835" w:rsidRDefault="00756835" w:rsidP="00566431">
      <w:pPr>
        <w:spacing w:line="360" w:lineRule="auto"/>
        <w:jc w:val="both"/>
      </w:pPr>
    </w:p>
    <w:tbl>
      <w:tblPr>
        <w:tblW w:w="15877" w:type="dxa"/>
        <w:tblInd w:w="-709" w:type="dxa"/>
        <w:tblLayout w:type="fixed"/>
        <w:tblLook w:val="00A0"/>
      </w:tblPr>
      <w:tblGrid>
        <w:gridCol w:w="650"/>
        <w:gridCol w:w="1740"/>
        <w:gridCol w:w="1438"/>
        <w:gridCol w:w="1525"/>
        <w:gridCol w:w="1701"/>
        <w:gridCol w:w="1560"/>
        <w:gridCol w:w="1451"/>
        <w:gridCol w:w="1525"/>
        <w:gridCol w:w="1701"/>
        <w:gridCol w:w="1276"/>
        <w:gridCol w:w="1310"/>
      </w:tblGrid>
      <w:tr w:rsidR="00756835" w:rsidRPr="003622CA" w:rsidTr="003622CA">
        <w:trPr>
          <w:trHeight w:val="42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6835" w:rsidRPr="003622CA" w:rsidRDefault="00756835" w:rsidP="003622CA">
            <w:pPr>
              <w:rPr>
                <w:sz w:val="20"/>
                <w:szCs w:val="20"/>
              </w:rPr>
            </w:pPr>
          </w:p>
        </w:tc>
        <w:tc>
          <w:tcPr>
            <w:tcW w:w="1522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6835" w:rsidRPr="003622CA" w:rsidRDefault="00756835" w:rsidP="003622CA">
            <w:pPr>
              <w:rPr>
                <w:b/>
                <w:bCs/>
              </w:rPr>
            </w:pPr>
            <w:r w:rsidRPr="003622CA">
              <w:rPr>
                <w:b/>
                <w:bCs/>
              </w:rPr>
              <w:t>Tablica 2:  Primljeni krediti i zajmovi te otplate</w:t>
            </w:r>
          </w:p>
        </w:tc>
      </w:tr>
      <w:tr w:rsidR="00756835" w:rsidRPr="003622CA" w:rsidTr="0070166A">
        <w:trPr>
          <w:trHeight w:val="42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6835" w:rsidRPr="003622CA" w:rsidRDefault="00756835" w:rsidP="003622CA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6835" w:rsidRPr="003622CA" w:rsidRDefault="00756835" w:rsidP="003622CA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6835" w:rsidRPr="003622CA" w:rsidRDefault="00756835" w:rsidP="003622CA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6835" w:rsidRPr="003622CA" w:rsidRDefault="00756835" w:rsidP="003622CA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6835" w:rsidRPr="003622CA" w:rsidRDefault="00756835" w:rsidP="003622CA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6835" w:rsidRPr="003622CA" w:rsidRDefault="00756835" w:rsidP="003622CA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6835" w:rsidRPr="003622CA" w:rsidRDefault="00756835" w:rsidP="003622CA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6835" w:rsidRPr="003622CA" w:rsidRDefault="00756835" w:rsidP="003622CA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6835" w:rsidRPr="003622CA" w:rsidRDefault="00756835" w:rsidP="003622CA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6835" w:rsidRPr="003622CA" w:rsidRDefault="00756835" w:rsidP="003622CA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6835" w:rsidRPr="003622CA" w:rsidRDefault="00756835" w:rsidP="003622CA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56835" w:rsidRPr="003622CA" w:rsidTr="0070166A">
        <w:trPr>
          <w:trHeight w:val="106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56835" w:rsidRPr="003622CA" w:rsidRDefault="00756835" w:rsidP="003622CA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Red.</w:t>
            </w:r>
            <w:r w:rsidRPr="003622CA">
              <w:rPr>
                <w:b/>
                <w:bCs/>
                <w:sz w:val="22"/>
                <w:szCs w:val="22"/>
              </w:rPr>
              <w:br/>
              <w:t>br.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56835" w:rsidRPr="003622CA" w:rsidRDefault="00756835" w:rsidP="003622CA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Vrsta kredita i zajmova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56835" w:rsidRPr="003622CA" w:rsidRDefault="00756835" w:rsidP="003622CA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Naziv pravne osobe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56835" w:rsidRPr="003622CA" w:rsidRDefault="00756835" w:rsidP="003622CA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Ugovorena valuta i iznos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56835" w:rsidRPr="003622CA" w:rsidRDefault="00756835" w:rsidP="003622CA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Stanje kredita i zajma 1.1.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56835" w:rsidRPr="003622CA" w:rsidRDefault="00756835" w:rsidP="003622CA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Otplate glavnice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56835" w:rsidRPr="003622CA" w:rsidRDefault="00756835" w:rsidP="003622CA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Primljeni krediti i  zajmovi u tekućoj godini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56835" w:rsidRPr="003622CA" w:rsidRDefault="00756835" w:rsidP="003622CA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Stanje kredita i zajma 31. 12.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56835" w:rsidRPr="003622CA" w:rsidRDefault="00756835" w:rsidP="003622CA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Revalorizacija / tečajne razlike u tekućoj godini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56835" w:rsidRPr="003622CA" w:rsidRDefault="00756835" w:rsidP="003622CA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 xml:space="preserve"> Datum primanja kredita i zajma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56835" w:rsidRPr="003622CA" w:rsidRDefault="00756835" w:rsidP="003622CA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Datum dospijeća kredita i zajma</w:t>
            </w:r>
          </w:p>
        </w:tc>
      </w:tr>
      <w:tr w:rsidR="00756835" w:rsidRPr="003622CA" w:rsidTr="0070166A">
        <w:trPr>
          <w:trHeight w:val="315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835" w:rsidRPr="003622CA" w:rsidRDefault="00756835" w:rsidP="003622CA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3622CA" w:rsidRDefault="00756835" w:rsidP="003622CA">
            <w:pPr>
              <w:jc w:val="center"/>
            </w:pPr>
            <w:r w:rsidRPr="003622CA">
              <w:rPr>
                <w:sz w:val="22"/>
                <w:szCs w:val="22"/>
              </w:rPr>
              <w:t>Tuzemni kratkoročni krediti i zajmovi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</w:tr>
      <w:tr w:rsidR="00756835" w:rsidRPr="003622CA" w:rsidTr="0070166A">
        <w:trPr>
          <w:trHeight w:val="30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3622CA" w:rsidRDefault="00756835" w:rsidP="003622CA">
            <w:pPr>
              <w:rPr>
                <w:b/>
                <w:bCs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3622CA" w:rsidRDefault="00756835" w:rsidP="003622CA"/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</w:tr>
      <w:tr w:rsidR="00756835" w:rsidRPr="003622CA" w:rsidTr="0070166A">
        <w:trPr>
          <w:trHeight w:val="30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3622CA" w:rsidRDefault="00756835" w:rsidP="003622CA">
            <w:pPr>
              <w:rPr>
                <w:b/>
                <w:bCs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3622CA" w:rsidRDefault="00756835" w:rsidP="003622CA"/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</w:tr>
      <w:tr w:rsidR="00756835" w:rsidRPr="003622CA" w:rsidTr="0070166A">
        <w:trPr>
          <w:trHeight w:val="30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3622CA" w:rsidRDefault="00756835" w:rsidP="003622CA">
            <w:pPr>
              <w:rPr>
                <w:b/>
                <w:bCs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3622CA" w:rsidRDefault="00756835" w:rsidP="003622CA"/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3622CA" w:rsidRDefault="00756835" w:rsidP="003622CA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756835" w:rsidRPr="003622CA" w:rsidRDefault="00756835" w:rsidP="003622CA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756835" w:rsidRPr="003622CA" w:rsidRDefault="00756835" w:rsidP="003622CA">
            <w:pPr>
              <w:jc w:val="right"/>
              <w:rPr>
                <w:b/>
                <w:bCs/>
                <w:sz w:val="20"/>
                <w:szCs w:val="20"/>
              </w:rPr>
            </w:pPr>
            <w:r w:rsidRPr="003622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756835" w:rsidRPr="003622CA" w:rsidRDefault="00756835" w:rsidP="003622CA">
            <w:pPr>
              <w:jc w:val="right"/>
              <w:rPr>
                <w:b/>
                <w:bCs/>
                <w:sz w:val="20"/>
                <w:szCs w:val="20"/>
              </w:rPr>
            </w:pPr>
            <w:r w:rsidRPr="003622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756835" w:rsidRPr="003622CA" w:rsidRDefault="00756835" w:rsidP="003622CA">
            <w:pPr>
              <w:jc w:val="right"/>
              <w:rPr>
                <w:b/>
                <w:bCs/>
                <w:sz w:val="20"/>
                <w:szCs w:val="20"/>
              </w:rPr>
            </w:pPr>
            <w:r w:rsidRPr="003622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756835" w:rsidRPr="003622CA" w:rsidRDefault="00756835" w:rsidP="003622CA">
            <w:pPr>
              <w:jc w:val="right"/>
              <w:rPr>
                <w:b/>
                <w:bCs/>
                <w:sz w:val="20"/>
                <w:szCs w:val="20"/>
              </w:rPr>
            </w:pPr>
            <w:r w:rsidRPr="003622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:rsidR="00756835" w:rsidRPr="003622CA" w:rsidRDefault="00756835" w:rsidP="003622CA">
            <w:pPr>
              <w:jc w:val="center"/>
            </w:pPr>
            <w:r w:rsidRPr="003622CA">
              <w:rPr>
                <w:sz w:val="22"/>
                <w:szCs w:val="22"/>
              </w:rPr>
              <w:t> </w:t>
            </w:r>
          </w:p>
        </w:tc>
      </w:tr>
      <w:tr w:rsidR="00756835" w:rsidRPr="003622CA" w:rsidTr="00AD4AD4">
        <w:trPr>
          <w:trHeight w:val="600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835" w:rsidRPr="003622CA" w:rsidRDefault="00756835" w:rsidP="003622CA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3622CA" w:rsidRDefault="00756835" w:rsidP="003622CA">
            <w:pPr>
              <w:jc w:val="center"/>
            </w:pPr>
            <w:r w:rsidRPr="003622CA">
              <w:rPr>
                <w:sz w:val="22"/>
                <w:szCs w:val="22"/>
              </w:rPr>
              <w:t>Tuzemni dugoročni krediti i zajmovi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835" w:rsidRPr="003622CA" w:rsidRDefault="00756835" w:rsidP="003622CA">
            <w:pPr>
              <w:jc w:val="center"/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835" w:rsidRPr="003622CA" w:rsidRDefault="00756835" w:rsidP="003622CA">
            <w:pPr>
              <w:jc w:val="right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835" w:rsidRPr="003622CA" w:rsidRDefault="00756835" w:rsidP="003622CA">
            <w:pPr>
              <w:jc w:val="right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835" w:rsidRPr="003622CA" w:rsidRDefault="00756835" w:rsidP="003622CA">
            <w:pPr>
              <w:jc w:val="right"/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835" w:rsidRPr="003622CA" w:rsidRDefault="00756835" w:rsidP="003622CA">
            <w:pPr>
              <w:jc w:val="right"/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835" w:rsidRPr="003622CA" w:rsidRDefault="00756835" w:rsidP="003622CA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835" w:rsidRPr="003622CA" w:rsidRDefault="00756835" w:rsidP="003622CA">
            <w:pPr>
              <w:jc w:val="center"/>
            </w:pP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835" w:rsidRPr="003622CA" w:rsidRDefault="00756835" w:rsidP="003622CA">
            <w:pPr>
              <w:jc w:val="center"/>
            </w:pPr>
          </w:p>
        </w:tc>
      </w:tr>
      <w:tr w:rsidR="00756835" w:rsidRPr="003622CA" w:rsidTr="00AD4AD4">
        <w:trPr>
          <w:trHeight w:val="30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3622CA" w:rsidRDefault="00756835" w:rsidP="003622CA">
            <w:pPr>
              <w:rPr>
                <w:b/>
                <w:bCs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3622CA" w:rsidRDefault="00756835" w:rsidP="003622CA"/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835" w:rsidRPr="003622CA" w:rsidRDefault="00756835" w:rsidP="003622CA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835" w:rsidRPr="003622CA" w:rsidRDefault="00756835" w:rsidP="003622CA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835" w:rsidRPr="003622CA" w:rsidRDefault="00756835" w:rsidP="003622CA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835" w:rsidRPr="003622CA" w:rsidRDefault="00756835" w:rsidP="003622CA"/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835" w:rsidRPr="003622CA" w:rsidRDefault="00756835" w:rsidP="003622CA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835" w:rsidRPr="003622CA" w:rsidRDefault="00756835" w:rsidP="003622CA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835" w:rsidRPr="003622CA" w:rsidRDefault="00756835" w:rsidP="003622CA"/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835" w:rsidRPr="003622CA" w:rsidRDefault="00756835" w:rsidP="003622CA"/>
        </w:tc>
      </w:tr>
      <w:tr w:rsidR="00756835" w:rsidRPr="003622CA" w:rsidTr="00AD4AD4">
        <w:trPr>
          <w:trHeight w:val="30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3622CA" w:rsidRDefault="00756835" w:rsidP="003622CA">
            <w:pPr>
              <w:rPr>
                <w:b/>
                <w:bCs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3622CA" w:rsidRDefault="00756835" w:rsidP="003622CA"/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835" w:rsidRPr="003622CA" w:rsidRDefault="00756835" w:rsidP="003622CA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835" w:rsidRPr="003622CA" w:rsidRDefault="00756835" w:rsidP="003622CA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835" w:rsidRPr="003622CA" w:rsidRDefault="00756835" w:rsidP="003622CA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835" w:rsidRPr="003622CA" w:rsidRDefault="00756835" w:rsidP="003622CA"/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835" w:rsidRPr="003622CA" w:rsidRDefault="00756835" w:rsidP="003622CA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835" w:rsidRPr="003622CA" w:rsidRDefault="00756835" w:rsidP="003622CA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835" w:rsidRPr="003622CA" w:rsidRDefault="00756835" w:rsidP="003622CA"/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835" w:rsidRPr="003622CA" w:rsidRDefault="00756835" w:rsidP="003622CA"/>
        </w:tc>
      </w:tr>
      <w:tr w:rsidR="00756835" w:rsidRPr="003622CA" w:rsidTr="00AD4AD4">
        <w:trPr>
          <w:trHeight w:val="30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3622CA" w:rsidRDefault="00756835" w:rsidP="003622CA">
            <w:pPr>
              <w:rPr>
                <w:b/>
                <w:bCs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3622CA" w:rsidRDefault="00756835" w:rsidP="003622CA"/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3622CA" w:rsidRDefault="00756835" w:rsidP="003622CA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756835" w:rsidRPr="003622CA" w:rsidRDefault="00756835" w:rsidP="003622CA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:rsidR="00756835" w:rsidRPr="003622CA" w:rsidRDefault="00756835" w:rsidP="003622CA">
            <w:pPr>
              <w:jc w:val="right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:rsidR="00756835" w:rsidRPr="003622CA" w:rsidRDefault="00756835" w:rsidP="003622CA">
            <w:pPr>
              <w:jc w:val="right"/>
              <w:rPr>
                <w:b/>
                <w:bCs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:rsidR="00756835" w:rsidRPr="003622CA" w:rsidRDefault="00756835" w:rsidP="003622CA">
            <w:pPr>
              <w:jc w:val="right"/>
              <w:rPr>
                <w:b/>
                <w:bCs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56835" w:rsidRPr="003622CA" w:rsidRDefault="00756835" w:rsidP="003622CA">
            <w:pPr>
              <w:jc w:val="right"/>
              <w:rPr>
                <w:b/>
                <w:bCs/>
              </w:rPr>
            </w:pPr>
          </w:p>
        </w:tc>
        <w:tc>
          <w:tcPr>
            <w:tcW w:w="428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756835" w:rsidRPr="003622CA" w:rsidRDefault="00756835" w:rsidP="003622CA">
            <w:pPr>
              <w:jc w:val="center"/>
            </w:pPr>
            <w:r w:rsidRPr="003622CA">
              <w:rPr>
                <w:sz w:val="22"/>
                <w:szCs w:val="22"/>
              </w:rPr>
              <w:t> </w:t>
            </w:r>
          </w:p>
        </w:tc>
      </w:tr>
      <w:tr w:rsidR="00756835" w:rsidRPr="003622CA" w:rsidTr="00AD4AD4">
        <w:trPr>
          <w:trHeight w:val="30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56835" w:rsidRPr="003622CA" w:rsidRDefault="00756835" w:rsidP="003622CA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UKUPNO (1+2)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756835" w:rsidRPr="003622CA" w:rsidRDefault="00756835" w:rsidP="003622CA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756835" w:rsidRPr="003622CA" w:rsidRDefault="00756835" w:rsidP="00DE41E7">
            <w:pPr>
              <w:jc w:val="right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756835" w:rsidRPr="003622CA" w:rsidRDefault="00756835" w:rsidP="003622CA">
            <w:pPr>
              <w:jc w:val="right"/>
              <w:rPr>
                <w:b/>
                <w:bCs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756835" w:rsidRPr="003622CA" w:rsidRDefault="00756835" w:rsidP="003622CA">
            <w:pPr>
              <w:jc w:val="right"/>
              <w:rPr>
                <w:b/>
                <w:bCs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756835" w:rsidRPr="003622CA" w:rsidRDefault="00756835" w:rsidP="003622CA">
            <w:pPr>
              <w:jc w:val="right"/>
              <w:rPr>
                <w:b/>
                <w:bCs/>
              </w:rPr>
            </w:pPr>
          </w:p>
        </w:tc>
        <w:tc>
          <w:tcPr>
            <w:tcW w:w="428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3622CA" w:rsidRDefault="00756835" w:rsidP="003622CA"/>
        </w:tc>
      </w:tr>
      <w:tr w:rsidR="00756835" w:rsidRPr="003622CA" w:rsidTr="0070166A">
        <w:trPr>
          <w:trHeight w:val="300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835" w:rsidRPr="003622CA" w:rsidRDefault="00756835" w:rsidP="003622CA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3622CA" w:rsidRDefault="00756835" w:rsidP="003622CA">
            <w:pPr>
              <w:jc w:val="center"/>
            </w:pPr>
            <w:r w:rsidRPr="003622CA">
              <w:rPr>
                <w:sz w:val="22"/>
                <w:szCs w:val="22"/>
              </w:rPr>
              <w:t>Inozemni kratkoročni krediti i zajmovi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</w:tr>
      <w:tr w:rsidR="00756835" w:rsidRPr="003622CA" w:rsidTr="0070166A">
        <w:trPr>
          <w:trHeight w:val="30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3622CA" w:rsidRDefault="00756835" w:rsidP="003622CA">
            <w:pPr>
              <w:rPr>
                <w:b/>
                <w:bCs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3622CA" w:rsidRDefault="00756835" w:rsidP="003622CA"/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</w:tr>
      <w:tr w:rsidR="00756835" w:rsidRPr="003622CA" w:rsidTr="0070166A">
        <w:trPr>
          <w:trHeight w:val="30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3622CA" w:rsidRDefault="00756835" w:rsidP="003622CA">
            <w:pPr>
              <w:rPr>
                <w:b/>
                <w:bCs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3622CA" w:rsidRDefault="00756835" w:rsidP="003622CA"/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</w:tr>
      <w:tr w:rsidR="00756835" w:rsidRPr="003622CA" w:rsidTr="0070166A">
        <w:trPr>
          <w:trHeight w:val="30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3622CA" w:rsidRDefault="00756835" w:rsidP="003622CA">
            <w:pPr>
              <w:rPr>
                <w:b/>
                <w:bCs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3622CA" w:rsidRDefault="00756835" w:rsidP="003622CA"/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3622CA" w:rsidRDefault="00756835" w:rsidP="003622CA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756835" w:rsidRPr="003622CA" w:rsidRDefault="00756835" w:rsidP="003622CA">
            <w:pPr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756835" w:rsidRPr="003622CA" w:rsidRDefault="00756835" w:rsidP="003622CA">
            <w:pPr>
              <w:rPr>
                <w:b/>
                <w:bCs/>
                <w:sz w:val="20"/>
                <w:szCs w:val="20"/>
              </w:rPr>
            </w:pPr>
            <w:r w:rsidRPr="003622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756835" w:rsidRPr="003622CA" w:rsidRDefault="00756835" w:rsidP="003622CA">
            <w:pPr>
              <w:rPr>
                <w:b/>
                <w:bCs/>
                <w:sz w:val="20"/>
                <w:szCs w:val="20"/>
              </w:rPr>
            </w:pPr>
            <w:r w:rsidRPr="003622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756835" w:rsidRPr="003622CA" w:rsidRDefault="00756835" w:rsidP="003622CA">
            <w:pPr>
              <w:rPr>
                <w:b/>
                <w:bCs/>
                <w:sz w:val="20"/>
                <w:szCs w:val="20"/>
              </w:rPr>
            </w:pPr>
            <w:r w:rsidRPr="003622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756835" w:rsidRPr="003622CA" w:rsidRDefault="00756835" w:rsidP="003622CA">
            <w:pPr>
              <w:rPr>
                <w:b/>
                <w:bCs/>
                <w:sz w:val="20"/>
                <w:szCs w:val="20"/>
              </w:rPr>
            </w:pPr>
            <w:r w:rsidRPr="003622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:rsidR="00756835" w:rsidRPr="003622CA" w:rsidRDefault="00756835" w:rsidP="003622CA">
            <w:pPr>
              <w:jc w:val="center"/>
            </w:pPr>
            <w:r w:rsidRPr="003622CA">
              <w:rPr>
                <w:sz w:val="22"/>
                <w:szCs w:val="22"/>
              </w:rPr>
              <w:t> </w:t>
            </w:r>
          </w:p>
        </w:tc>
      </w:tr>
      <w:tr w:rsidR="00756835" w:rsidRPr="003622CA" w:rsidTr="0070166A">
        <w:trPr>
          <w:trHeight w:val="300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835" w:rsidRPr="003622CA" w:rsidRDefault="00756835" w:rsidP="003622CA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3622CA" w:rsidRDefault="00756835" w:rsidP="003622CA">
            <w:pPr>
              <w:jc w:val="center"/>
            </w:pPr>
            <w:r w:rsidRPr="003622CA">
              <w:rPr>
                <w:sz w:val="22"/>
                <w:szCs w:val="22"/>
              </w:rPr>
              <w:t>Inozemni dugoročni krediti i zajmovi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</w:tr>
      <w:tr w:rsidR="00756835" w:rsidRPr="003622CA" w:rsidTr="0070166A">
        <w:trPr>
          <w:trHeight w:val="30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3622CA" w:rsidRDefault="00756835" w:rsidP="003622CA">
            <w:pPr>
              <w:rPr>
                <w:b/>
                <w:bCs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3622CA" w:rsidRDefault="00756835" w:rsidP="003622CA"/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</w:tr>
      <w:tr w:rsidR="00756835" w:rsidRPr="003622CA" w:rsidTr="0070166A">
        <w:trPr>
          <w:trHeight w:val="30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3622CA" w:rsidRDefault="00756835" w:rsidP="003622CA">
            <w:pPr>
              <w:rPr>
                <w:b/>
                <w:bCs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3622CA" w:rsidRDefault="00756835" w:rsidP="003622CA"/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3622CA" w:rsidRDefault="00756835" w:rsidP="003622CA">
            <w:r w:rsidRPr="003622CA">
              <w:rPr>
                <w:sz w:val="22"/>
                <w:szCs w:val="22"/>
              </w:rPr>
              <w:t> </w:t>
            </w:r>
          </w:p>
        </w:tc>
      </w:tr>
      <w:tr w:rsidR="00756835" w:rsidRPr="003622CA" w:rsidTr="0070166A">
        <w:trPr>
          <w:trHeight w:val="30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3622CA" w:rsidRDefault="00756835" w:rsidP="003622CA">
            <w:pPr>
              <w:rPr>
                <w:b/>
                <w:bCs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3622CA" w:rsidRDefault="00756835" w:rsidP="003622CA"/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3622CA" w:rsidRDefault="00756835" w:rsidP="003622CA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756835" w:rsidRPr="003622CA" w:rsidRDefault="00756835" w:rsidP="003622CA">
            <w:pPr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756835" w:rsidRPr="003622CA" w:rsidRDefault="00756835" w:rsidP="003622CA">
            <w:pPr>
              <w:rPr>
                <w:b/>
                <w:bCs/>
                <w:sz w:val="20"/>
                <w:szCs w:val="20"/>
              </w:rPr>
            </w:pPr>
            <w:r w:rsidRPr="003622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756835" w:rsidRPr="003622CA" w:rsidRDefault="00756835" w:rsidP="003622CA">
            <w:pPr>
              <w:rPr>
                <w:b/>
                <w:bCs/>
                <w:sz w:val="20"/>
                <w:szCs w:val="20"/>
              </w:rPr>
            </w:pPr>
            <w:r w:rsidRPr="003622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756835" w:rsidRPr="003622CA" w:rsidRDefault="00756835" w:rsidP="003622CA">
            <w:pPr>
              <w:rPr>
                <w:b/>
                <w:bCs/>
                <w:sz w:val="20"/>
                <w:szCs w:val="20"/>
              </w:rPr>
            </w:pPr>
            <w:r w:rsidRPr="003622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756835" w:rsidRPr="003622CA" w:rsidRDefault="00756835" w:rsidP="003622CA">
            <w:pPr>
              <w:rPr>
                <w:b/>
                <w:bCs/>
                <w:sz w:val="20"/>
                <w:szCs w:val="20"/>
              </w:rPr>
            </w:pPr>
            <w:r w:rsidRPr="003622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756835" w:rsidRPr="003622CA" w:rsidRDefault="00756835" w:rsidP="003622CA">
            <w:pPr>
              <w:jc w:val="center"/>
            </w:pPr>
            <w:r w:rsidRPr="003622CA">
              <w:rPr>
                <w:sz w:val="22"/>
                <w:szCs w:val="22"/>
              </w:rPr>
              <w:t> </w:t>
            </w:r>
          </w:p>
        </w:tc>
      </w:tr>
      <w:tr w:rsidR="00756835" w:rsidRPr="003622CA" w:rsidTr="0070166A">
        <w:trPr>
          <w:trHeight w:val="30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835" w:rsidRPr="003622CA" w:rsidRDefault="00756835" w:rsidP="003622CA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UKUPNO (3+4)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56835" w:rsidRPr="003622CA" w:rsidRDefault="00756835" w:rsidP="003622CA">
            <w:pPr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756835" w:rsidRPr="003622CA" w:rsidRDefault="00756835" w:rsidP="003622CA">
            <w:pPr>
              <w:rPr>
                <w:b/>
                <w:bCs/>
                <w:sz w:val="20"/>
                <w:szCs w:val="20"/>
              </w:rPr>
            </w:pPr>
            <w:r w:rsidRPr="003622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756835" w:rsidRPr="003622CA" w:rsidRDefault="00756835" w:rsidP="003622CA">
            <w:pPr>
              <w:rPr>
                <w:b/>
                <w:bCs/>
                <w:sz w:val="20"/>
                <w:szCs w:val="20"/>
              </w:rPr>
            </w:pPr>
            <w:r w:rsidRPr="003622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756835" w:rsidRPr="003622CA" w:rsidRDefault="00756835" w:rsidP="003622CA">
            <w:pPr>
              <w:rPr>
                <w:b/>
                <w:bCs/>
                <w:sz w:val="20"/>
                <w:szCs w:val="20"/>
              </w:rPr>
            </w:pPr>
            <w:r w:rsidRPr="003622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756835" w:rsidRPr="003622CA" w:rsidRDefault="00756835" w:rsidP="003622CA">
            <w:pPr>
              <w:rPr>
                <w:b/>
                <w:bCs/>
                <w:sz w:val="20"/>
                <w:szCs w:val="20"/>
              </w:rPr>
            </w:pPr>
            <w:r w:rsidRPr="003622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56835" w:rsidRPr="003622CA" w:rsidRDefault="00756835" w:rsidP="003622CA"/>
        </w:tc>
      </w:tr>
      <w:tr w:rsidR="00756835" w:rsidRPr="003622CA" w:rsidTr="00AD4AD4">
        <w:trPr>
          <w:trHeight w:val="30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835" w:rsidRPr="003622CA" w:rsidRDefault="00756835" w:rsidP="003622CA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UKUPNO (1+2+3+4)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56835" w:rsidRPr="003622CA" w:rsidRDefault="00756835" w:rsidP="003622CA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56835" w:rsidRPr="003622CA" w:rsidRDefault="00756835" w:rsidP="003622CA">
            <w:pPr>
              <w:jc w:val="right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56835" w:rsidRPr="003622CA" w:rsidRDefault="00756835" w:rsidP="003622CA">
            <w:pPr>
              <w:jc w:val="right"/>
              <w:rPr>
                <w:b/>
                <w:bCs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56835" w:rsidRPr="003622CA" w:rsidRDefault="00756835" w:rsidP="003622CA">
            <w:pPr>
              <w:jc w:val="right"/>
              <w:rPr>
                <w:b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56835" w:rsidRPr="003622CA" w:rsidRDefault="00756835" w:rsidP="003622CA">
            <w:pPr>
              <w:jc w:val="right"/>
              <w:rPr>
                <w:b/>
                <w:bCs/>
              </w:rPr>
            </w:pPr>
          </w:p>
        </w:tc>
        <w:tc>
          <w:tcPr>
            <w:tcW w:w="428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3622CA" w:rsidRDefault="00756835" w:rsidP="003622CA"/>
        </w:tc>
      </w:tr>
    </w:tbl>
    <w:p w:rsidR="00756835" w:rsidRDefault="00756835" w:rsidP="00566431"/>
    <w:tbl>
      <w:tblPr>
        <w:tblW w:w="13325" w:type="dxa"/>
        <w:tblLook w:val="00A0"/>
      </w:tblPr>
      <w:tblGrid>
        <w:gridCol w:w="650"/>
        <w:gridCol w:w="1660"/>
        <w:gridCol w:w="3220"/>
        <w:gridCol w:w="3968"/>
        <w:gridCol w:w="1860"/>
        <w:gridCol w:w="1967"/>
      </w:tblGrid>
      <w:tr w:rsidR="00756835" w:rsidRPr="00566431" w:rsidTr="00566431">
        <w:trPr>
          <w:trHeight w:val="315"/>
        </w:trPr>
        <w:tc>
          <w:tcPr>
            <w:tcW w:w="1332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6835" w:rsidRPr="00566431" w:rsidRDefault="00756835" w:rsidP="00566431">
            <w:pPr>
              <w:rPr>
                <w:b/>
                <w:bCs/>
              </w:rPr>
            </w:pPr>
            <w:r w:rsidRPr="00566431">
              <w:rPr>
                <w:b/>
                <w:bCs/>
              </w:rPr>
              <w:lastRenderedPageBreak/>
              <w:t>Tablica 3: Primljeni robni zajmovi i financijski najmovi</w:t>
            </w:r>
          </w:p>
        </w:tc>
      </w:tr>
      <w:tr w:rsidR="00756835" w:rsidRPr="00566431" w:rsidTr="00566431">
        <w:trPr>
          <w:trHeight w:val="31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6835" w:rsidRPr="00566431" w:rsidRDefault="00756835" w:rsidP="00566431">
            <w:pPr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6835" w:rsidRPr="00566431" w:rsidRDefault="00756835" w:rsidP="00566431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6835" w:rsidRPr="00566431" w:rsidRDefault="00756835" w:rsidP="00566431">
            <w:pPr>
              <w:rPr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6835" w:rsidRPr="00566431" w:rsidRDefault="00756835" w:rsidP="0056643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6835" w:rsidRPr="00566431" w:rsidRDefault="00756835" w:rsidP="00566431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6835" w:rsidRPr="00566431" w:rsidRDefault="00756835" w:rsidP="00566431">
            <w:pPr>
              <w:rPr>
                <w:sz w:val="20"/>
                <w:szCs w:val="20"/>
              </w:rPr>
            </w:pPr>
          </w:p>
        </w:tc>
      </w:tr>
      <w:tr w:rsidR="00756835" w:rsidRPr="00566431" w:rsidTr="00566431">
        <w:trPr>
          <w:trHeight w:val="9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56835" w:rsidRPr="00566431" w:rsidRDefault="00756835" w:rsidP="00566431">
            <w:pPr>
              <w:jc w:val="center"/>
              <w:rPr>
                <w:b/>
                <w:bCs/>
              </w:rPr>
            </w:pPr>
            <w:r w:rsidRPr="00566431">
              <w:rPr>
                <w:b/>
                <w:bCs/>
                <w:sz w:val="22"/>
                <w:szCs w:val="22"/>
              </w:rPr>
              <w:t>Red.</w:t>
            </w:r>
            <w:r w:rsidRPr="00566431">
              <w:rPr>
                <w:b/>
                <w:bCs/>
                <w:sz w:val="22"/>
                <w:szCs w:val="22"/>
              </w:rPr>
              <w:br/>
              <w:t>br.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56835" w:rsidRPr="00566431" w:rsidRDefault="00756835" w:rsidP="00566431">
            <w:pPr>
              <w:jc w:val="center"/>
              <w:rPr>
                <w:b/>
                <w:bCs/>
              </w:rPr>
            </w:pPr>
            <w:r w:rsidRPr="00566431">
              <w:rPr>
                <w:b/>
                <w:bCs/>
              </w:rPr>
              <w:t>Robni zajmovi i financijski najmovi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56835" w:rsidRPr="00566431" w:rsidRDefault="00756835" w:rsidP="00566431">
            <w:pPr>
              <w:jc w:val="center"/>
              <w:rPr>
                <w:b/>
                <w:bCs/>
              </w:rPr>
            </w:pPr>
            <w:r w:rsidRPr="00566431">
              <w:rPr>
                <w:b/>
                <w:bCs/>
              </w:rPr>
              <w:t>Naziv pravne osobe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56835" w:rsidRPr="00566431" w:rsidRDefault="00756835" w:rsidP="00566431">
            <w:pPr>
              <w:jc w:val="center"/>
              <w:rPr>
                <w:b/>
                <w:bCs/>
              </w:rPr>
            </w:pPr>
            <w:r w:rsidRPr="00566431">
              <w:rPr>
                <w:b/>
                <w:bCs/>
              </w:rPr>
              <w:t>Opis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56835" w:rsidRPr="00566431" w:rsidRDefault="00756835" w:rsidP="00566431">
            <w:pPr>
              <w:jc w:val="center"/>
              <w:rPr>
                <w:b/>
                <w:bCs/>
              </w:rPr>
            </w:pPr>
            <w:r w:rsidRPr="00566431">
              <w:rPr>
                <w:b/>
                <w:bCs/>
              </w:rPr>
              <w:t>Stanje 1.1.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56835" w:rsidRPr="00566431" w:rsidRDefault="00756835" w:rsidP="00566431">
            <w:pPr>
              <w:jc w:val="center"/>
              <w:rPr>
                <w:b/>
                <w:bCs/>
              </w:rPr>
            </w:pPr>
            <w:r w:rsidRPr="00566431">
              <w:rPr>
                <w:b/>
                <w:bCs/>
              </w:rPr>
              <w:t>Stanje 31.12.</w:t>
            </w:r>
          </w:p>
        </w:tc>
      </w:tr>
      <w:tr w:rsidR="00756835" w:rsidRPr="00566431" w:rsidTr="00566431">
        <w:trPr>
          <w:trHeight w:val="330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835" w:rsidRPr="00566431" w:rsidRDefault="00756835" w:rsidP="00566431">
            <w:pPr>
              <w:jc w:val="center"/>
              <w:rPr>
                <w:b/>
                <w:bCs/>
              </w:rPr>
            </w:pPr>
            <w:r w:rsidRPr="00566431">
              <w:rPr>
                <w:b/>
                <w:bCs/>
              </w:rPr>
              <w:t>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566431" w:rsidRDefault="00756835" w:rsidP="00566431">
            <w:pPr>
              <w:jc w:val="center"/>
            </w:pPr>
            <w:r w:rsidRPr="00566431">
              <w:t>Primljeni robni zajmovi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566431" w:rsidRDefault="00756835" w:rsidP="00566431">
            <w:r w:rsidRPr="00566431"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566431" w:rsidRDefault="00756835" w:rsidP="00566431">
            <w:r w:rsidRPr="00566431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566431" w:rsidRDefault="00756835" w:rsidP="00566431">
            <w:r w:rsidRPr="00566431"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566431" w:rsidRDefault="00756835" w:rsidP="00566431">
            <w:r w:rsidRPr="00566431">
              <w:t> </w:t>
            </w:r>
          </w:p>
        </w:tc>
      </w:tr>
      <w:tr w:rsidR="00756835" w:rsidRPr="00566431" w:rsidTr="00566431">
        <w:trPr>
          <w:trHeight w:val="31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566431" w:rsidRDefault="00756835" w:rsidP="00566431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566431" w:rsidRDefault="00756835" w:rsidP="00566431"/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566431" w:rsidRDefault="00756835" w:rsidP="00566431">
            <w:r w:rsidRPr="00566431"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566431" w:rsidRDefault="00756835" w:rsidP="00566431">
            <w:r w:rsidRPr="00566431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566431" w:rsidRDefault="00756835" w:rsidP="00566431">
            <w:r w:rsidRPr="00566431"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566431" w:rsidRDefault="00756835" w:rsidP="00566431">
            <w:r w:rsidRPr="00566431">
              <w:t> </w:t>
            </w:r>
          </w:p>
        </w:tc>
      </w:tr>
      <w:tr w:rsidR="00756835" w:rsidRPr="00566431" w:rsidTr="00566431">
        <w:trPr>
          <w:trHeight w:val="31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566431" w:rsidRDefault="00756835" w:rsidP="00566431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566431" w:rsidRDefault="00756835" w:rsidP="00566431"/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566431" w:rsidRDefault="00756835" w:rsidP="00566431">
            <w:r w:rsidRPr="00566431"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566431" w:rsidRDefault="00756835" w:rsidP="00566431">
            <w:r w:rsidRPr="00566431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566431" w:rsidRDefault="00756835" w:rsidP="00566431">
            <w:r w:rsidRPr="00566431"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566431" w:rsidRDefault="00756835" w:rsidP="00566431">
            <w:r w:rsidRPr="00566431">
              <w:t> </w:t>
            </w:r>
          </w:p>
        </w:tc>
      </w:tr>
      <w:tr w:rsidR="00756835" w:rsidRPr="00566431" w:rsidTr="00566431">
        <w:trPr>
          <w:trHeight w:val="31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566431" w:rsidRDefault="00756835" w:rsidP="00566431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566431" w:rsidRDefault="00756835" w:rsidP="00566431"/>
        </w:tc>
        <w:tc>
          <w:tcPr>
            <w:tcW w:w="7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6835" w:rsidRPr="00566431" w:rsidRDefault="00756835" w:rsidP="00566431">
            <w:pPr>
              <w:jc w:val="right"/>
              <w:rPr>
                <w:b/>
                <w:bCs/>
              </w:rPr>
            </w:pPr>
            <w:r w:rsidRPr="00566431">
              <w:rPr>
                <w:b/>
                <w:bCs/>
              </w:rPr>
              <w:t>UKUPNO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</w:tcPr>
          <w:p w:rsidR="00756835" w:rsidRPr="00566431" w:rsidRDefault="00756835" w:rsidP="003622CA">
            <w:pPr>
              <w:jc w:val="right"/>
              <w:rPr>
                <w:b/>
                <w:bCs/>
              </w:rPr>
            </w:pPr>
            <w:r w:rsidRPr="00566431">
              <w:rPr>
                <w:b/>
                <w:bCs/>
              </w:rPr>
              <w:t> </w:t>
            </w:r>
            <w:r>
              <w:rPr>
                <w:b/>
                <w:bCs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</w:tcPr>
          <w:p w:rsidR="00756835" w:rsidRPr="00566431" w:rsidRDefault="00756835" w:rsidP="003622CA">
            <w:pPr>
              <w:jc w:val="right"/>
              <w:rPr>
                <w:b/>
                <w:bCs/>
              </w:rPr>
            </w:pPr>
            <w:r w:rsidRPr="00566431">
              <w:rPr>
                <w:b/>
                <w:bCs/>
              </w:rPr>
              <w:t> </w:t>
            </w:r>
            <w:r>
              <w:rPr>
                <w:b/>
                <w:bCs/>
              </w:rPr>
              <w:t>0</w:t>
            </w:r>
          </w:p>
        </w:tc>
      </w:tr>
      <w:tr w:rsidR="00756835" w:rsidRPr="00566431" w:rsidTr="00566431">
        <w:trPr>
          <w:trHeight w:val="330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835" w:rsidRPr="00566431" w:rsidRDefault="00756835" w:rsidP="00566431">
            <w:pPr>
              <w:jc w:val="center"/>
              <w:rPr>
                <w:b/>
                <w:bCs/>
              </w:rPr>
            </w:pPr>
            <w:r w:rsidRPr="00566431">
              <w:rPr>
                <w:b/>
                <w:bCs/>
              </w:rPr>
              <w:t>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566431" w:rsidRDefault="00756835" w:rsidP="00566431">
            <w:pPr>
              <w:jc w:val="center"/>
            </w:pPr>
            <w:r w:rsidRPr="00566431">
              <w:t>Financijski najmovi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566431" w:rsidRDefault="00756835" w:rsidP="00566431">
            <w:r w:rsidRPr="00566431"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566431" w:rsidRDefault="00756835" w:rsidP="00566431">
            <w:r w:rsidRPr="00566431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566431" w:rsidRDefault="00756835" w:rsidP="003622CA">
            <w:pPr>
              <w:jc w:val="right"/>
            </w:pPr>
            <w:r w:rsidRPr="00566431"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566431" w:rsidRDefault="00756835" w:rsidP="003622CA">
            <w:pPr>
              <w:jc w:val="right"/>
            </w:pPr>
            <w:r w:rsidRPr="00566431">
              <w:t> </w:t>
            </w:r>
          </w:p>
        </w:tc>
      </w:tr>
      <w:tr w:rsidR="00756835" w:rsidRPr="00566431" w:rsidTr="00566431">
        <w:trPr>
          <w:trHeight w:val="31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566431" w:rsidRDefault="00756835" w:rsidP="00566431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566431" w:rsidRDefault="00756835" w:rsidP="00566431"/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566431" w:rsidRDefault="00756835" w:rsidP="00566431">
            <w:r w:rsidRPr="00566431"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566431" w:rsidRDefault="00756835" w:rsidP="00566431">
            <w:r w:rsidRPr="00566431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566431" w:rsidRDefault="00756835" w:rsidP="003622CA">
            <w:pPr>
              <w:jc w:val="right"/>
            </w:pPr>
            <w:r w:rsidRPr="00566431"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566431" w:rsidRDefault="00756835" w:rsidP="003622CA">
            <w:pPr>
              <w:jc w:val="right"/>
            </w:pPr>
            <w:r w:rsidRPr="00566431">
              <w:t> </w:t>
            </w:r>
          </w:p>
        </w:tc>
      </w:tr>
      <w:tr w:rsidR="00756835" w:rsidRPr="00566431" w:rsidTr="00566431">
        <w:trPr>
          <w:trHeight w:val="31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566431" w:rsidRDefault="00756835" w:rsidP="00566431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566431" w:rsidRDefault="00756835" w:rsidP="00566431"/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566431" w:rsidRDefault="00756835" w:rsidP="00566431">
            <w:r w:rsidRPr="00566431"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566431" w:rsidRDefault="00756835" w:rsidP="00566431">
            <w:r w:rsidRPr="00566431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566431" w:rsidRDefault="00756835" w:rsidP="003622CA">
            <w:pPr>
              <w:jc w:val="right"/>
            </w:pPr>
            <w:r w:rsidRPr="00566431"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566431" w:rsidRDefault="00756835" w:rsidP="003622CA">
            <w:pPr>
              <w:jc w:val="right"/>
            </w:pPr>
            <w:r w:rsidRPr="00566431">
              <w:t> </w:t>
            </w:r>
          </w:p>
        </w:tc>
      </w:tr>
      <w:tr w:rsidR="00756835" w:rsidRPr="00566431" w:rsidTr="00566431">
        <w:trPr>
          <w:trHeight w:val="31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566431" w:rsidRDefault="00756835" w:rsidP="00566431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566431" w:rsidRDefault="00756835" w:rsidP="00566431"/>
        </w:tc>
        <w:tc>
          <w:tcPr>
            <w:tcW w:w="7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6835" w:rsidRPr="00566431" w:rsidRDefault="00756835" w:rsidP="00566431">
            <w:pPr>
              <w:jc w:val="right"/>
              <w:rPr>
                <w:b/>
                <w:bCs/>
              </w:rPr>
            </w:pPr>
            <w:r w:rsidRPr="00566431">
              <w:rPr>
                <w:b/>
                <w:bCs/>
              </w:rPr>
              <w:t>UKUPNO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</w:tcPr>
          <w:p w:rsidR="00756835" w:rsidRPr="00566431" w:rsidRDefault="00756835" w:rsidP="003622CA">
            <w:pPr>
              <w:jc w:val="right"/>
              <w:rPr>
                <w:b/>
                <w:bCs/>
              </w:rPr>
            </w:pPr>
            <w:r w:rsidRPr="00566431">
              <w:rPr>
                <w:b/>
                <w:bCs/>
              </w:rPr>
              <w:t> </w:t>
            </w:r>
            <w:r>
              <w:rPr>
                <w:b/>
                <w:bCs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</w:tcPr>
          <w:p w:rsidR="00756835" w:rsidRPr="00566431" w:rsidRDefault="00756835" w:rsidP="003622CA">
            <w:pPr>
              <w:jc w:val="right"/>
              <w:rPr>
                <w:b/>
                <w:bCs/>
              </w:rPr>
            </w:pPr>
            <w:r w:rsidRPr="00566431">
              <w:rPr>
                <w:b/>
                <w:bCs/>
              </w:rPr>
              <w:t> </w:t>
            </w:r>
            <w:r>
              <w:rPr>
                <w:b/>
                <w:bCs/>
              </w:rPr>
              <w:t>0</w:t>
            </w:r>
          </w:p>
        </w:tc>
      </w:tr>
      <w:tr w:rsidR="00756835" w:rsidRPr="00566431" w:rsidTr="00566431">
        <w:trPr>
          <w:trHeight w:val="315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6835" w:rsidRPr="00566431" w:rsidRDefault="00756835" w:rsidP="00566431">
            <w:pPr>
              <w:jc w:val="right"/>
              <w:rPr>
                <w:b/>
                <w:bCs/>
              </w:rPr>
            </w:pPr>
            <w:r w:rsidRPr="00566431">
              <w:rPr>
                <w:b/>
                <w:bCs/>
              </w:rPr>
              <w:t>UKUPNO (1+2)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</w:tcPr>
          <w:p w:rsidR="00756835" w:rsidRPr="00566431" w:rsidRDefault="00756835" w:rsidP="00566431">
            <w:pPr>
              <w:jc w:val="right"/>
              <w:rPr>
                <w:b/>
                <w:bCs/>
              </w:rPr>
            </w:pPr>
            <w:r w:rsidRPr="00566431">
              <w:rPr>
                <w:b/>
                <w:bCs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</w:tcPr>
          <w:p w:rsidR="00756835" w:rsidRPr="00566431" w:rsidRDefault="00756835" w:rsidP="00566431">
            <w:pPr>
              <w:jc w:val="right"/>
              <w:rPr>
                <w:b/>
                <w:bCs/>
              </w:rPr>
            </w:pPr>
            <w:r w:rsidRPr="00566431">
              <w:rPr>
                <w:b/>
                <w:bCs/>
              </w:rPr>
              <w:t>0</w:t>
            </w:r>
          </w:p>
        </w:tc>
      </w:tr>
    </w:tbl>
    <w:p w:rsidR="00756835" w:rsidRDefault="00756835" w:rsidP="00566431"/>
    <w:p w:rsidR="00756835" w:rsidRDefault="00756835" w:rsidP="00566431"/>
    <w:tbl>
      <w:tblPr>
        <w:tblW w:w="13200" w:type="dxa"/>
        <w:tblLook w:val="00A0"/>
      </w:tblPr>
      <w:tblGrid>
        <w:gridCol w:w="650"/>
        <w:gridCol w:w="2080"/>
        <w:gridCol w:w="546"/>
        <w:gridCol w:w="2340"/>
        <w:gridCol w:w="1880"/>
        <w:gridCol w:w="1960"/>
        <w:gridCol w:w="1940"/>
        <w:gridCol w:w="1900"/>
      </w:tblGrid>
      <w:tr w:rsidR="00756835" w:rsidRPr="00566431" w:rsidTr="00566431">
        <w:trPr>
          <w:trHeight w:val="405"/>
        </w:trPr>
        <w:tc>
          <w:tcPr>
            <w:tcW w:w="132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6835" w:rsidRPr="00566431" w:rsidRDefault="00756835" w:rsidP="00566431">
            <w:pPr>
              <w:rPr>
                <w:b/>
                <w:bCs/>
              </w:rPr>
            </w:pPr>
            <w:r w:rsidRPr="00566431">
              <w:rPr>
                <w:b/>
                <w:bCs/>
              </w:rPr>
              <w:t>Tablica 4: Dospjele kamate na kredite i zajmove</w:t>
            </w:r>
          </w:p>
        </w:tc>
      </w:tr>
      <w:tr w:rsidR="00756835" w:rsidRPr="00566431" w:rsidTr="0056643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6835" w:rsidRPr="00566431" w:rsidRDefault="00756835" w:rsidP="00566431">
            <w:pPr>
              <w:rPr>
                <w:b/>
                <w:bCs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6835" w:rsidRPr="00566431" w:rsidRDefault="00756835" w:rsidP="0056643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6835" w:rsidRPr="00566431" w:rsidRDefault="00756835" w:rsidP="0056643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6835" w:rsidRPr="00566431" w:rsidRDefault="00756835" w:rsidP="0056643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6835" w:rsidRPr="00566431" w:rsidRDefault="00756835" w:rsidP="0056643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6835" w:rsidRPr="00566431" w:rsidRDefault="00756835" w:rsidP="0056643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6835" w:rsidRPr="00566431" w:rsidRDefault="00756835" w:rsidP="00566431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6835" w:rsidRPr="00566431" w:rsidRDefault="00756835" w:rsidP="00566431">
            <w:pPr>
              <w:rPr>
                <w:sz w:val="20"/>
                <w:szCs w:val="20"/>
              </w:rPr>
            </w:pPr>
          </w:p>
        </w:tc>
      </w:tr>
      <w:tr w:rsidR="00756835" w:rsidRPr="00566431" w:rsidTr="00566431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56835" w:rsidRPr="00566431" w:rsidRDefault="00756835" w:rsidP="00566431">
            <w:pPr>
              <w:jc w:val="center"/>
              <w:rPr>
                <w:b/>
                <w:bCs/>
              </w:rPr>
            </w:pPr>
            <w:r w:rsidRPr="00566431">
              <w:rPr>
                <w:b/>
                <w:bCs/>
                <w:sz w:val="22"/>
                <w:szCs w:val="22"/>
              </w:rPr>
              <w:t>Red.</w:t>
            </w:r>
            <w:r w:rsidRPr="00566431">
              <w:rPr>
                <w:b/>
                <w:bCs/>
                <w:sz w:val="22"/>
                <w:szCs w:val="22"/>
              </w:rPr>
              <w:br/>
              <w:t>br.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756835" w:rsidRPr="00566431" w:rsidRDefault="00756835" w:rsidP="00566431">
            <w:pPr>
              <w:jc w:val="center"/>
              <w:rPr>
                <w:b/>
                <w:bCs/>
              </w:rPr>
            </w:pPr>
            <w:r w:rsidRPr="00566431">
              <w:rPr>
                <w:b/>
                <w:bCs/>
                <w:sz w:val="22"/>
                <w:szCs w:val="22"/>
              </w:rPr>
              <w:t>Kamate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</w:tcPr>
          <w:p w:rsidR="00756835" w:rsidRPr="00566431" w:rsidRDefault="00756835" w:rsidP="00566431">
            <w:pPr>
              <w:jc w:val="center"/>
              <w:rPr>
                <w:b/>
                <w:bCs/>
              </w:rPr>
            </w:pPr>
            <w:r w:rsidRPr="00566431">
              <w:rPr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756835" w:rsidRPr="00566431" w:rsidRDefault="00756835" w:rsidP="00566431">
            <w:pPr>
              <w:jc w:val="center"/>
              <w:rPr>
                <w:b/>
                <w:bCs/>
              </w:rPr>
            </w:pPr>
            <w:r w:rsidRPr="00566431">
              <w:rPr>
                <w:b/>
                <w:bCs/>
                <w:sz w:val="22"/>
                <w:szCs w:val="22"/>
              </w:rPr>
              <w:t>Stanje 1.1.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756835" w:rsidRPr="00566431" w:rsidRDefault="00756835" w:rsidP="00566431">
            <w:pPr>
              <w:jc w:val="center"/>
              <w:rPr>
                <w:b/>
                <w:bCs/>
              </w:rPr>
            </w:pPr>
            <w:r w:rsidRPr="00566431">
              <w:rPr>
                <w:b/>
                <w:bCs/>
                <w:sz w:val="22"/>
                <w:szCs w:val="22"/>
              </w:rPr>
              <w:t>Kamate dospjele u tekućoj godini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756835" w:rsidRPr="00566431" w:rsidRDefault="00756835" w:rsidP="00566431">
            <w:pPr>
              <w:jc w:val="center"/>
              <w:rPr>
                <w:b/>
                <w:bCs/>
              </w:rPr>
            </w:pPr>
            <w:r w:rsidRPr="00566431">
              <w:rPr>
                <w:b/>
                <w:bCs/>
                <w:sz w:val="22"/>
                <w:szCs w:val="22"/>
              </w:rPr>
              <w:t>Kamate plaćene u tekućoj godini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756835" w:rsidRPr="00566431" w:rsidRDefault="00756835" w:rsidP="00566431">
            <w:pPr>
              <w:jc w:val="center"/>
              <w:rPr>
                <w:b/>
                <w:bCs/>
              </w:rPr>
            </w:pPr>
            <w:r w:rsidRPr="00566431">
              <w:rPr>
                <w:b/>
                <w:bCs/>
                <w:sz w:val="22"/>
                <w:szCs w:val="22"/>
              </w:rPr>
              <w:t>Stanje 31.12.</w:t>
            </w:r>
          </w:p>
        </w:tc>
      </w:tr>
      <w:tr w:rsidR="00756835" w:rsidRPr="00566431" w:rsidTr="0056643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</w:tcPr>
          <w:p w:rsidR="00756835" w:rsidRPr="00566431" w:rsidRDefault="00756835" w:rsidP="00566431">
            <w:pPr>
              <w:jc w:val="center"/>
              <w:rPr>
                <w:b/>
                <w:bCs/>
                <w:color w:val="FFFFFF"/>
              </w:rPr>
            </w:pPr>
            <w:r w:rsidRPr="00566431">
              <w:rPr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</w:tcPr>
          <w:p w:rsidR="00756835" w:rsidRPr="00566431" w:rsidRDefault="00756835" w:rsidP="00566431">
            <w:pPr>
              <w:jc w:val="center"/>
              <w:rPr>
                <w:b/>
                <w:bCs/>
                <w:color w:val="FFFFFF"/>
              </w:rPr>
            </w:pPr>
            <w:r w:rsidRPr="00566431">
              <w:rPr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bottom"/>
          </w:tcPr>
          <w:p w:rsidR="00756835" w:rsidRPr="00566431" w:rsidRDefault="00756835" w:rsidP="00566431">
            <w:pPr>
              <w:jc w:val="center"/>
              <w:rPr>
                <w:b/>
                <w:bCs/>
                <w:color w:val="FFFFFF"/>
              </w:rPr>
            </w:pPr>
            <w:r w:rsidRPr="00566431">
              <w:rPr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</w:tcPr>
          <w:p w:rsidR="00756835" w:rsidRPr="00566431" w:rsidRDefault="00756835" w:rsidP="00566431">
            <w:pPr>
              <w:jc w:val="center"/>
              <w:rPr>
                <w:b/>
                <w:bCs/>
                <w:color w:val="FFFFFF"/>
              </w:rPr>
            </w:pPr>
            <w:r w:rsidRPr="00566431">
              <w:rPr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</w:tcPr>
          <w:p w:rsidR="00756835" w:rsidRPr="00566431" w:rsidRDefault="00756835" w:rsidP="00566431">
            <w:pPr>
              <w:jc w:val="center"/>
              <w:rPr>
                <w:b/>
                <w:bCs/>
                <w:color w:val="FFFFFF"/>
              </w:rPr>
            </w:pPr>
            <w:r w:rsidRPr="00566431">
              <w:rPr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</w:tcPr>
          <w:p w:rsidR="00756835" w:rsidRPr="00566431" w:rsidRDefault="00756835" w:rsidP="00566431">
            <w:pPr>
              <w:jc w:val="center"/>
              <w:rPr>
                <w:b/>
                <w:bCs/>
                <w:color w:val="FFFFFF"/>
              </w:rPr>
            </w:pPr>
            <w:r w:rsidRPr="00566431">
              <w:rPr>
                <w:b/>
                <w:bCs/>
                <w:color w:val="FFFFFF"/>
                <w:sz w:val="22"/>
                <w:szCs w:val="22"/>
              </w:rPr>
              <w:t>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</w:tcPr>
          <w:p w:rsidR="00756835" w:rsidRPr="00566431" w:rsidRDefault="00756835" w:rsidP="00566431">
            <w:pPr>
              <w:jc w:val="center"/>
              <w:rPr>
                <w:b/>
                <w:bCs/>
                <w:color w:val="FFFFFF"/>
              </w:rPr>
            </w:pPr>
            <w:r w:rsidRPr="00566431">
              <w:rPr>
                <w:b/>
                <w:bCs/>
                <w:color w:val="FFFFFF"/>
                <w:sz w:val="22"/>
                <w:szCs w:val="22"/>
              </w:rPr>
              <w:t>7=4+5-6</w:t>
            </w:r>
          </w:p>
        </w:tc>
      </w:tr>
      <w:tr w:rsidR="00756835" w:rsidRPr="00566431" w:rsidTr="00566431">
        <w:trPr>
          <w:trHeight w:val="37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56835" w:rsidRPr="00566431" w:rsidRDefault="00756835" w:rsidP="00566431">
            <w:pPr>
              <w:jc w:val="center"/>
              <w:rPr>
                <w:b/>
                <w:bCs/>
              </w:rPr>
            </w:pPr>
            <w:r w:rsidRPr="0056643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566431" w:rsidRDefault="00756835" w:rsidP="00566431">
            <w:pPr>
              <w:jc w:val="center"/>
            </w:pPr>
            <w:r w:rsidRPr="00566431">
              <w:rPr>
                <w:sz w:val="22"/>
                <w:szCs w:val="22"/>
              </w:rPr>
              <w:t xml:space="preserve"> Kamate po primljenim kreditima i zajmovima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566431" w:rsidRDefault="00756835" w:rsidP="00566431">
            <w:pPr>
              <w:jc w:val="center"/>
            </w:pPr>
            <w:r w:rsidRPr="00566431">
              <w:rPr>
                <w:sz w:val="22"/>
                <w:szCs w:val="22"/>
              </w:rPr>
              <w:t>1.1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566431" w:rsidRDefault="00756835" w:rsidP="00566431">
            <w:r w:rsidRPr="00566431">
              <w:rPr>
                <w:sz w:val="22"/>
                <w:szCs w:val="22"/>
              </w:rPr>
              <w:t>tuzemnim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566431" w:rsidRDefault="00756835" w:rsidP="00566431"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566431" w:rsidRDefault="00756835" w:rsidP="00566431"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566431" w:rsidRDefault="00756835" w:rsidP="00566431"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566431" w:rsidRDefault="00756835" w:rsidP="00566431">
            <w:r w:rsidRPr="00566431">
              <w:rPr>
                <w:sz w:val="22"/>
                <w:szCs w:val="22"/>
              </w:rPr>
              <w:t> </w:t>
            </w:r>
          </w:p>
        </w:tc>
      </w:tr>
      <w:tr w:rsidR="00756835" w:rsidRPr="00566431" w:rsidTr="0056643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835" w:rsidRPr="00566431" w:rsidRDefault="00756835" w:rsidP="00566431">
            <w:pPr>
              <w:rPr>
                <w:b/>
                <w:bCs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566431" w:rsidRDefault="00756835" w:rsidP="00566431"/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566431" w:rsidRDefault="00756835" w:rsidP="00566431">
            <w:pPr>
              <w:jc w:val="center"/>
            </w:pPr>
            <w:r w:rsidRPr="00566431">
              <w:rPr>
                <w:sz w:val="22"/>
                <w:szCs w:val="22"/>
              </w:rPr>
              <w:t>1.2.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566431" w:rsidRDefault="00756835" w:rsidP="00566431">
            <w:r w:rsidRPr="00566431">
              <w:rPr>
                <w:sz w:val="22"/>
                <w:szCs w:val="22"/>
              </w:rPr>
              <w:t>inozemnim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566431" w:rsidRDefault="00756835" w:rsidP="00566431"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566431" w:rsidRDefault="00756835" w:rsidP="00566431"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566431" w:rsidRDefault="00756835" w:rsidP="00566431"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566431" w:rsidRDefault="00756835" w:rsidP="00566431">
            <w:r w:rsidRPr="00566431">
              <w:rPr>
                <w:sz w:val="22"/>
                <w:szCs w:val="22"/>
              </w:rPr>
              <w:t> </w:t>
            </w:r>
          </w:p>
        </w:tc>
      </w:tr>
      <w:tr w:rsidR="00756835" w:rsidRPr="00566431" w:rsidTr="0056643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835" w:rsidRPr="00566431" w:rsidRDefault="00756835" w:rsidP="00566431">
            <w:pPr>
              <w:rPr>
                <w:b/>
                <w:bCs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566431" w:rsidRDefault="00756835" w:rsidP="00566431"/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56835" w:rsidRPr="00566431" w:rsidRDefault="00756835" w:rsidP="00566431">
            <w:pPr>
              <w:jc w:val="center"/>
              <w:rPr>
                <w:b/>
                <w:bCs/>
              </w:rPr>
            </w:pPr>
            <w:r w:rsidRPr="00566431">
              <w:rPr>
                <w:b/>
                <w:bCs/>
                <w:sz w:val="22"/>
                <w:szCs w:val="22"/>
              </w:rPr>
              <w:t>UKUPNO (1.1+1.2)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</w:tcPr>
          <w:p w:rsidR="00756835" w:rsidRPr="00566431" w:rsidRDefault="00756835" w:rsidP="00566431">
            <w:pPr>
              <w:rPr>
                <w:b/>
                <w:bCs/>
              </w:rPr>
            </w:pPr>
            <w:r w:rsidRPr="005664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</w:tcPr>
          <w:p w:rsidR="00756835" w:rsidRPr="00566431" w:rsidRDefault="00756835" w:rsidP="00566431">
            <w:pPr>
              <w:rPr>
                <w:b/>
                <w:bCs/>
              </w:rPr>
            </w:pPr>
            <w:r w:rsidRPr="005664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</w:tcPr>
          <w:p w:rsidR="00756835" w:rsidRPr="00566431" w:rsidRDefault="00756835" w:rsidP="00566431">
            <w:pPr>
              <w:rPr>
                <w:b/>
                <w:bCs/>
              </w:rPr>
            </w:pPr>
            <w:r w:rsidRPr="005664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</w:tcPr>
          <w:p w:rsidR="00756835" w:rsidRPr="00566431" w:rsidRDefault="00756835" w:rsidP="00566431">
            <w:pPr>
              <w:rPr>
                <w:b/>
                <w:bCs/>
              </w:rPr>
            </w:pPr>
            <w:r w:rsidRPr="0056643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56835" w:rsidRPr="00566431" w:rsidTr="00566431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56835" w:rsidRPr="00566431" w:rsidRDefault="00756835" w:rsidP="00566431">
            <w:pPr>
              <w:jc w:val="center"/>
              <w:rPr>
                <w:b/>
                <w:bCs/>
              </w:rPr>
            </w:pPr>
            <w:r w:rsidRPr="0056643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566431" w:rsidRDefault="00756835" w:rsidP="00566431">
            <w:pPr>
              <w:jc w:val="center"/>
            </w:pPr>
            <w:r w:rsidRPr="00566431">
              <w:rPr>
                <w:sz w:val="22"/>
                <w:szCs w:val="22"/>
              </w:rPr>
              <w:t>Kamate po danim zajmovima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566431" w:rsidRDefault="00756835" w:rsidP="00566431">
            <w:pPr>
              <w:jc w:val="center"/>
            </w:pPr>
            <w:r w:rsidRPr="00566431">
              <w:rPr>
                <w:sz w:val="22"/>
                <w:szCs w:val="22"/>
              </w:rPr>
              <w:t>2.1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566431" w:rsidRDefault="00756835" w:rsidP="00566431">
            <w:r w:rsidRPr="00566431">
              <w:rPr>
                <w:sz w:val="22"/>
                <w:szCs w:val="22"/>
              </w:rPr>
              <w:t>tuzemnim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566431" w:rsidRDefault="00756835" w:rsidP="00566431"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566431" w:rsidRDefault="00756835" w:rsidP="00566431"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566431" w:rsidRDefault="00756835" w:rsidP="00566431"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566431" w:rsidRDefault="00756835" w:rsidP="00566431">
            <w:r w:rsidRPr="00566431">
              <w:rPr>
                <w:sz w:val="22"/>
                <w:szCs w:val="22"/>
              </w:rPr>
              <w:t> </w:t>
            </w:r>
          </w:p>
        </w:tc>
      </w:tr>
      <w:tr w:rsidR="00756835" w:rsidRPr="00566431" w:rsidTr="0056643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835" w:rsidRPr="00566431" w:rsidRDefault="00756835" w:rsidP="00566431">
            <w:pPr>
              <w:rPr>
                <w:b/>
                <w:bCs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566431" w:rsidRDefault="00756835" w:rsidP="00566431"/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566431" w:rsidRDefault="00756835" w:rsidP="00566431">
            <w:pPr>
              <w:jc w:val="center"/>
            </w:pPr>
            <w:r w:rsidRPr="00566431">
              <w:rPr>
                <w:sz w:val="22"/>
                <w:szCs w:val="22"/>
              </w:rPr>
              <w:t>2.2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566431" w:rsidRDefault="00756835" w:rsidP="00566431">
            <w:r w:rsidRPr="00566431">
              <w:rPr>
                <w:sz w:val="22"/>
                <w:szCs w:val="22"/>
              </w:rPr>
              <w:t>inozemnim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566431" w:rsidRDefault="00756835" w:rsidP="00566431"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566431" w:rsidRDefault="00756835" w:rsidP="00566431"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566431" w:rsidRDefault="00756835" w:rsidP="00566431"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835" w:rsidRPr="00566431" w:rsidRDefault="00756835" w:rsidP="00566431">
            <w:r w:rsidRPr="00566431">
              <w:rPr>
                <w:sz w:val="22"/>
                <w:szCs w:val="22"/>
              </w:rPr>
              <w:t> </w:t>
            </w:r>
          </w:p>
        </w:tc>
      </w:tr>
      <w:tr w:rsidR="00756835" w:rsidRPr="00566431" w:rsidTr="0056643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835" w:rsidRPr="00566431" w:rsidRDefault="00756835" w:rsidP="00566431">
            <w:pPr>
              <w:rPr>
                <w:b/>
                <w:bCs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5" w:rsidRPr="00566431" w:rsidRDefault="00756835" w:rsidP="00566431"/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6835" w:rsidRPr="00566431" w:rsidRDefault="00756835" w:rsidP="00566431">
            <w:pPr>
              <w:jc w:val="center"/>
              <w:rPr>
                <w:b/>
                <w:bCs/>
              </w:rPr>
            </w:pPr>
            <w:r w:rsidRPr="00566431">
              <w:rPr>
                <w:b/>
                <w:bCs/>
                <w:sz w:val="22"/>
                <w:szCs w:val="22"/>
              </w:rPr>
              <w:t>UKUPNO (2.1+2.2)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</w:tcPr>
          <w:p w:rsidR="00756835" w:rsidRPr="00566431" w:rsidRDefault="00756835" w:rsidP="00566431">
            <w:pPr>
              <w:jc w:val="right"/>
              <w:rPr>
                <w:b/>
                <w:bCs/>
              </w:rPr>
            </w:pPr>
            <w:r w:rsidRPr="0056643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</w:tcPr>
          <w:p w:rsidR="00756835" w:rsidRPr="00566431" w:rsidRDefault="00756835" w:rsidP="00566431">
            <w:pPr>
              <w:jc w:val="right"/>
              <w:rPr>
                <w:b/>
                <w:bCs/>
              </w:rPr>
            </w:pPr>
            <w:r w:rsidRPr="0056643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</w:tcPr>
          <w:p w:rsidR="00756835" w:rsidRPr="00566431" w:rsidRDefault="00756835" w:rsidP="00566431">
            <w:pPr>
              <w:jc w:val="right"/>
              <w:rPr>
                <w:b/>
                <w:bCs/>
              </w:rPr>
            </w:pPr>
            <w:r w:rsidRPr="0056643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</w:tcPr>
          <w:p w:rsidR="00756835" w:rsidRPr="00566431" w:rsidRDefault="00756835" w:rsidP="00566431">
            <w:pPr>
              <w:jc w:val="right"/>
              <w:rPr>
                <w:b/>
                <w:bCs/>
              </w:rPr>
            </w:pPr>
            <w:r w:rsidRPr="00566431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756835" w:rsidRDefault="00756835" w:rsidP="00566431">
      <w:pPr>
        <w:sectPr w:rsidR="00756835" w:rsidSect="0056643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756835" w:rsidRDefault="00756835" w:rsidP="00A45F81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756835" w:rsidRDefault="00756835" w:rsidP="00A45F81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756835" w:rsidRDefault="00756835" w:rsidP="00A45F81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1A4BCD">
        <w:rPr>
          <w:b/>
          <w:bCs/>
          <w:lang w:eastAsia="en-US"/>
        </w:rPr>
        <w:t>III. BILJEŠKE UZ IZVJEŠTAJ O PRIHODIMA I RASHODIMA, PRIMICIMA I</w:t>
      </w:r>
      <w:r>
        <w:rPr>
          <w:b/>
          <w:bCs/>
          <w:lang w:eastAsia="en-US"/>
        </w:rPr>
        <w:t xml:space="preserve"> </w:t>
      </w:r>
      <w:r w:rsidRPr="001A4BCD">
        <w:rPr>
          <w:b/>
          <w:bCs/>
          <w:lang w:eastAsia="en-US"/>
        </w:rPr>
        <w:t>IZDACIM (PR-RAS)</w:t>
      </w:r>
    </w:p>
    <w:p w:rsidR="00756835" w:rsidRPr="001A4BCD" w:rsidRDefault="00756835" w:rsidP="00A45F81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756835" w:rsidRPr="001A4BCD" w:rsidRDefault="00756835" w:rsidP="00B450AD">
      <w:pPr>
        <w:autoSpaceDE w:val="0"/>
        <w:autoSpaceDN w:val="0"/>
        <w:adjustRightInd w:val="0"/>
        <w:jc w:val="both"/>
        <w:rPr>
          <w:lang w:eastAsia="en-US"/>
        </w:rPr>
      </w:pPr>
      <w:r w:rsidRPr="001A4BCD">
        <w:rPr>
          <w:b/>
          <w:i/>
          <w:lang w:eastAsia="en-US"/>
        </w:rPr>
        <w:t xml:space="preserve">Bilješka uz AOP </w:t>
      </w:r>
      <w:r>
        <w:rPr>
          <w:b/>
          <w:i/>
          <w:lang w:eastAsia="en-US"/>
        </w:rPr>
        <w:t>631 i 632:</w:t>
      </w:r>
      <w:r w:rsidRPr="001A4BCD">
        <w:rPr>
          <w:b/>
          <w:i/>
          <w:lang w:eastAsia="en-US"/>
        </w:rPr>
        <w:t xml:space="preserve"> </w:t>
      </w:r>
      <w:r w:rsidRPr="001A4BCD">
        <w:rPr>
          <w:lang w:eastAsia="en-US"/>
        </w:rPr>
        <w:t xml:space="preserve">Ukupni prihodi i primici ostvareni su u iznosu od </w:t>
      </w:r>
      <w:r>
        <w:rPr>
          <w:lang w:eastAsia="en-US"/>
        </w:rPr>
        <w:t>4.582.545</w:t>
      </w:r>
      <w:r w:rsidRPr="001A4BCD">
        <w:rPr>
          <w:lang w:eastAsia="en-US"/>
        </w:rPr>
        <w:t xml:space="preserve"> </w:t>
      </w:r>
      <w:r>
        <w:rPr>
          <w:lang w:eastAsia="en-US"/>
        </w:rPr>
        <w:t>kn</w:t>
      </w:r>
      <w:r w:rsidRPr="001A4BCD">
        <w:rPr>
          <w:lang w:eastAsia="en-US"/>
        </w:rPr>
        <w:t xml:space="preserve"> š</w:t>
      </w:r>
      <w:r>
        <w:rPr>
          <w:lang w:eastAsia="en-US"/>
        </w:rPr>
        <w:t>to pokazuje smanjenje za 16,40 % u odnosu na 2015</w:t>
      </w:r>
      <w:r w:rsidRPr="001A4BCD">
        <w:rPr>
          <w:lang w:eastAsia="en-US"/>
        </w:rPr>
        <w:t>. godinu.</w:t>
      </w:r>
    </w:p>
    <w:p w:rsidR="00756835" w:rsidRDefault="00756835" w:rsidP="00B450AD">
      <w:pPr>
        <w:autoSpaceDE w:val="0"/>
        <w:autoSpaceDN w:val="0"/>
        <w:adjustRightInd w:val="0"/>
        <w:jc w:val="both"/>
        <w:rPr>
          <w:lang w:eastAsia="en-US"/>
        </w:rPr>
      </w:pPr>
    </w:p>
    <w:p w:rsidR="00756835" w:rsidRPr="001A4BCD" w:rsidRDefault="00756835" w:rsidP="00B450AD">
      <w:pPr>
        <w:autoSpaceDE w:val="0"/>
        <w:autoSpaceDN w:val="0"/>
        <w:adjustRightInd w:val="0"/>
        <w:jc w:val="both"/>
        <w:rPr>
          <w:lang w:eastAsia="en-US"/>
        </w:rPr>
      </w:pPr>
      <w:r w:rsidRPr="001A4BCD">
        <w:rPr>
          <w:lang w:eastAsia="en-US"/>
        </w:rPr>
        <w:t xml:space="preserve">Ukupni rashodi i izdaci ostvareni su u iznosu od </w:t>
      </w:r>
      <w:r>
        <w:rPr>
          <w:lang w:eastAsia="en-US"/>
        </w:rPr>
        <w:t>4.449.278</w:t>
      </w:r>
      <w:r w:rsidRPr="001A4BCD">
        <w:rPr>
          <w:lang w:eastAsia="en-US"/>
        </w:rPr>
        <w:t xml:space="preserve"> </w:t>
      </w:r>
      <w:r>
        <w:rPr>
          <w:lang w:eastAsia="en-US"/>
        </w:rPr>
        <w:t>kn</w:t>
      </w:r>
      <w:r w:rsidRPr="001A4BCD">
        <w:rPr>
          <w:lang w:eastAsia="en-US"/>
        </w:rPr>
        <w:t xml:space="preserve"> što tak</w:t>
      </w:r>
      <w:r>
        <w:rPr>
          <w:lang w:eastAsia="en-US"/>
        </w:rPr>
        <w:t>ođer pokazuje smanjenje za 26,00 % u odnosu na 2015</w:t>
      </w:r>
      <w:r w:rsidRPr="001A4BCD">
        <w:rPr>
          <w:lang w:eastAsia="en-US"/>
        </w:rPr>
        <w:t>. godinu.</w:t>
      </w:r>
    </w:p>
    <w:p w:rsidR="00756835" w:rsidRDefault="00756835" w:rsidP="00566431"/>
    <w:p w:rsidR="00756835" w:rsidRDefault="00756835" w:rsidP="00DF3B47">
      <w:pPr>
        <w:jc w:val="both"/>
      </w:pPr>
      <w:r>
        <w:t>U nastavku daje se detaljniji tabelarni prikaz usporedbe ostvarenja prihoda u izvještajnom razdoblju u odnosu na prethodnu 2015. godinu.</w:t>
      </w:r>
    </w:p>
    <w:p w:rsidR="00756835" w:rsidRDefault="00756835" w:rsidP="00566431"/>
    <w:p w:rsidR="00756835" w:rsidRDefault="00756835" w:rsidP="00566431"/>
    <w:tbl>
      <w:tblPr>
        <w:tblW w:w="13200" w:type="dxa"/>
        <w:tblLook w:val="00A0"/>
      </w:tblPr>
      <w:tblGrid>
        <w:gridCol w:w="13200"/>
      </w:tblGrid>
      <w:tr w:rsidR="00756835" w:rsidRPr="00C31A95" w:rsidTr="005E39D3">
        <w:trPr>
          <w:trHeight w:val="405"/>
        </w:trPr>
        <w:tc>
          <w:tcPr>
            <w:tcW w:w="1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6835" w:rsidRPr="00C31A95" w:rsidRDefault="00756835" w:rsidP="009812C7">
            <w:pPr>
              <w:ind w:left="-105"/>
              <w:rPr>
                <w:b/>
                <w:bCs/>
              </w:rPr>
            </w:pPr>
            <w:r w:rsidRPr="00C31A95">
              <w:rPr>
                <w:b/>
                <w:bCs/>
              </w:rPr>
              <w:t>Tablica 5: Ostvareni prihodi Općine Vladislavci u 2015. i 2016. godini</w:t>
            </w:r>
          </w:p>
        </w:tc>
      </w:tr>
    </w:tbl>
    <w:p w:rsidR="00756835" w:rsidRDefault="00756835" w:rsidP="00A45F81"/>
    <w:tbl>
      <w:tblPr>
        <w:tblW w:w="9386" w:type="dxa"/>
        <w:jc w:val="center"/>
        <w:tblLook w:val="00A0"/>
      </w:tblPr>
      <w:tblGrid>
        <w:gridCol w:w="802"/>
        <w:gridCol w:w="4499"/>
        <w:gridCol w:w="1430"/>
        <w:gridCol w:w="1423"/>
        <w:gridCol w:w="1232"/>
      </w:tblGrid>
      <w:tr w:rsidR="00756835" w:rsidRPr="00461CD4" w:rsidTr="00C31A95">
        <w:trPr>
          <w:trHeight w:val="664"/>
          <w:jc w:val="center"/>
        </w:trPr>
        <w:tc>
          <w:tcPr>
            <w:tcW w:w="80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461CD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1C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Račun</w:t>
            </w:r>
          </w:p>
        </w:tc>
        <w:tc>
          <w:tcPr>
            <w:tcW w:w="449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461CD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1C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1430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vAlign w:val="center"/>
          </w:tcPr>
          <w:p w:rsidR="00756835" w:rsidRPr="00461CD4" w:rsidRDefault="00756835" w:rsidP="00461CD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Ostvarenje 2015</w:t>
            </w:r>
            <w:r w:rsidRPr="00461C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2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vAlign w:val="center"/>
          </w:tcPr>
          <w:p w:rsidR="00756835" w:rsidRPr="00461CD4" w:rsidRDefault="00756835" w:rsidP="00461CD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Ostvarenje 2016</w:t>
            </w:r>
            <w:r w:rsidRPr="00461C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3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461CD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1C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Indeks</w:t>
            </w:r>
          </w:p>
        </w:tc>
      </w:tr>
      <w:tr w:rsidR="00756835" w:rsidRPr="00462A4E" w:rsidTr="00C31A95">
        <w:trPr>
          <w:trHeight w:val="355"/>
          <w:jc w:val="center"/>
        </w:trPr>
        <w:tc>
          <w:tcPr>
            <w:tcW w:w="80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2A4E" w:rsidRDefault="00756835" w:rsidP="00C65E0F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49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2A4E" w:rsidRDefault="00756835" w:rsidP="00C65E0F">
            <w:pPr>
              <w:rPr>
                <w:rFonts w:ascii="Calibri" w:hAnsi="Calibri"/>
                <w:b/>
                <w:color w:val="000000"/>
              </w:rPr>
            </w:pPr>
            <w:r w:rsidRPr="00462A4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Prihodi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poslovanja</w:t>
            </w:r>
          </w:p>
        </w:tc>
        <w:tc>
          <w:tcPr>
            <w:tcW w:w="1430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2A4E" w:rsidRDefault="00756835" w:rsidP="00C65E0F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5.102.680</w:t>
            </w:r>
          </w:p>
        </w:tc>
        <w:tc>
          <w:tcPr>
            <w:tcW w:w="142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2A4E" w:rsidRDefault="00756835" w:rsidP="00C65E0F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4.199.873</w:t>
            </w:r>
          </w:p>
        </w:tc>
        <w:tc>
          <w:tcPr>
            <w:tcW w:w="123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2A4E" w:rsidRDefault="00756835" w:rsidP="00C65E0F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82,3%</w:t>
            </w:r>
          </w:p>
        </w:tc>
      </w:tr>
      <w:tr w:rsidR="00756835" w:rsidRPr="00462A4E" w:rsidTr="00C31A95">
        <w:trPr>
          <w:trHeight w:val="355"/>
          <w:jc w:val="center"/>
        </w:trPr>
        <w:tc>
          <w:tcPr>
            <w:tcW w:w="80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2A4E" w:rsidRDefault="00756835" w:rsidP="00F80503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462A4E">
              <w:rPr>
                <w:rFonts w:ascii="Calibri" w:hAnsi="Calibri"/>
                <w:b/>
                <w:color w:val="000000"/>
                <w:sz w:val="22"/>
                <w:szCs w:val="22"/>
              </w:rPr>
              <w:t>61</w:t>
            </w:r>
          </w:p>
        </w:tc>
        <w:tc>
          <w:tcPr>
            <w:tcW w:w="449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2A4E" w:rsidRDefault="00756835" w:rsidP="00F80503">
            <w:pPr>
              <w:rPr>
                <w:rFonts w:ascii="Calibri" w:hAnsi="Calibri"/>
                <w:b/>
                <w:color w:val="000000"/>
              </w:rPr>
            </w:pPr>
            <w:r w:rsidRPr="00462A4E">
              <w:rPr>
                <w:rFonts w:ascii="Calibri" w:hAnsi="Calibri"/>
                <w:b/>
                <w:color w:val="000000"/>
                <w:sz w:val="22"/>
                <w:szCs w:val="22"/>
              </w:rPr>
              <w:t>Prihodi od poreza</w:t>
            </w:r>
          </w:p>
        </w:tc>
        <w:tc>
          <w:tcPr>
            <w:tcW w:w="1430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Default="00756835" w:rsidP="003F08C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778.460</w:t>
            </w:r>
          </w:p>
        </w:tc>
        <w:tc>
          <w:tcPr>
            <w:tcW w:w="142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Default="00756835" w:rsidP="003F08C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1.080.845</w:t>
            </w:r>
          </w:p>
        </w:tc>
        <w:tc>
          <w:tcPr>
            <w:tcW w:w="123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2A4E" w:rsidRDefault="00756835" w:rsidP="004F4ED9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138,8%</w:t>
            </w:r>
          </w:p>
        </w:tc>
      </w:tr>
      <w:tr w:rsidR="00756835" w:rsidRPr="00461CD4" w:rsidTr="00C31A95">
        <w:trPr>
          <w:trHeight w:val="355"/>
          <w:jc w:val="center"/>
        </w:trPr>
        <w:tc>
          <w:tcPr>
            <w:tcW w:w="80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3632FC" w:rsidRDefault="00756835" w:rsidP="00461CD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3632FC">
              <w:rPr>
                <w:rFonts w:ascii="Calibri" w:hAnsi="Calibri"/>
                <w:b/>
                <w:color w:val="000000"/>
                <w:sz w:val="22"/>
                <w:szCs w:val="22"/>
              </w:rPr>
              <w:t>611</w:t>
            </w:r>
          </w:p>
        </w:tc>
        <w:tc>
          <w:tcPr>
            <w:tcW w:w="449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3632FC" w:rsidRDefault="00756835" w:rsidP="00461CD4">
            <w:pPr>
              <w:rPr>
                <w:rFonts w:ascii="Calibri" w:hAnsi="Calibri"/>
                <w:b/>
                <w:color w:val="000000"/>
              </w:rPr>
            </w:pPr>
            <w:r w:rsidRPr="003632F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Porez i prirez na dohodak </w:t>
            </w:r>
          </w:p>
        </w:tc>
        <w:tc>
          <w:tcPr>
            <w:tcW w:w="1430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3632FC" w:rsidRDefault="00756835" w:rsidP="00461CD4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593.382</w:t>
            </w:r>
          </w:p>
        </w:tc>
        <w:tc>
          <w:tcPr>
            <w:tcW w:w="142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3632FC" w:rsidRDefault="00756835" w:rsidP="00461CD4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966.568</w:t>
            </w:r>
          </w:p>
        </w:tc>
        <w:tc>
          <w:tcPr>
            <w:tcW w:w="123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3632FC" w:rsidRDefault="00756835" w:rsidP="00007F77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162,9%</w:t>
            </w:r>
          </w:p>
        </w:tc>
      </w:tr>
      <w:tr w:rsidR="00756835" w:rsidRPr="002D7F44" w:rsidTr="00C31A95">
        <w:trPr>
          <w:trHeight w:val="355"/>
          <w:jc w:val="center"/>
        </w:trPr>
        <w:tc>
          <w:tcPr>
            <w:tcW w:w="80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2D7F44" w:rsidRDefault="00756835" w:rsidP="00461CD4">
            <w:pPr>
              <w:jc w:val="right"/>
              <w:rPr>
                <w:rFonts w:ascii="Calibri" w:hAnsi="Calibri"/>
                <w:color w:val="000000"/>
              </w:rPr>
            </w:pPr>
            <w:r w:rsidRPr="002D7F44">
              <w:rPr>
                <w:rFonts w:ascii="Calibri" w:hAnsi="Calibri"/>
                <w:color w:val="000000"/>
                <w:sz w:val="22"/>
                <w:szCs w:val="22"/>
              </w:rPr>
              <w:t>6111</w:t>
            </w:r>
          </w:p>
        </w:tc>
        <w:tc>
          <w:tcPr>
            <w:tcW w:w="449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2D7F44" w:rsidRDefault="00756835" w:rsidP="00461CD4">
            <w:pPr>
              <w:rPr>
                <w:rFonts w:ascii="Calibri" w:hAnsi="Calibri"/>
                <w:color w:val="000000"/>
              </w:rPr>
            </w:pPr>
            <w:r w:rsidRPr="002D7F44">
              <w:rPr>
                <w:rFonts w:ascii="Calibri" w:hAnsi="Calibri"/>
                <w:color w:val="000000"/>
                <w:sz w:val="22"/>
                <w:szCs w:val="22"/>
              </w:rPr>
              <w:t>Porez i prirez na dohodak od nesamostalnog rada</w:t>
            </w:r>
          </w:p>
        </w:tc>
        <w:tc>
          <w:tcPr>
            <w:tcW w:w="1430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2D7F44" w:rsidRDefault="00756835" w:rsidP="00461CD4">
            <w:pPr>
              <w:jc w:val="right"/>
              <w:rPr>
                <w:rFonts w:ascii="Calibri" w:hAnsi="Calibri"/>
                <w:color w:val="000000"/>
              </w:rPr>
            </w:pPr>
            <w:r w:rsidRPr="002D7F44">
              <w:rPr>
                <w:rFonts w:ascii="Calibri" w:hAnsi="Calibri"/>
                <w:color w:val="000000"/>
                <w:sz w:val="22"/>
                <w:szCs w:val="22"/>
              </w:rPr>
              <w:t>369.774</w:t>
            </w:r>
          </w:p>
        </w:tc>
        <w:tc>
          <w:tcPr>
            <w:tcW w:w="142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2D7F44" w:rsidRDefault="00756835" w:rsidP="00461CD4">
            <w:pPr>
              <w:jc w:val="right"/>
              <w:rPr>
                <w:rFonts w:ascii="Calibri" w:hAnsi="Calibri"/>
              </w:rPr>
            </w:pPr>
            <w:r w:rsidRPr="002D7F44">
              <w:rPr>
                <w:rFonts w:ascii="Calibri" w:hAnsi="Calibri"/>
                <w:sz w:val="22"/>
                <w:szCs w:val="22"/>
              </w:rPr>
              <w:t>966.568</w:t>
            </w:r>
          </w:p>
        </w:tc>
        <w:tc>
          <w:tcPr>
            <w:tcW w:w="123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2D7F44" w:rsidRDefault="00756835" w:rsidP="00007F77">
            <w:pPr>
              <w:jc w:val="right"/>
              <w:rPr>
                <w:rFonts w:ascii="Calibri" w:hAnsi="Calibri"/>
                <w:color w:val="000000"/>
              </w:rPr>
            </w:pPr>
            <w:r w:rsidRPr="002D7F44">
              <w:rPr>
                <w:rFonts w:ascii="Calibri" w:hAnsi="Calibri"/>
                <w:color w:val="000000"/>
                <w:sz w:val="22"/>
                <w:szCs w:val="22"/>
              </w:rPr>
              <w:t>261,4%</w:t>
            </w:r>
          </w:p>
        </w:tc>
      </w:tr>
      <w:tr w:rsidR="00756835" w:rsidRPr="002D7F44" w:rsidTr="00C31A95">
        <w:trPr>
          <w:trHeight w:val="355"/>
          <w:jc w:val="center"/>
        </w:trPr>
        <w:tc>
          <w:tcPr>
            <w:tcW w:w="80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2D7F44" w:rsidRDefault="00756835" w:rsidP="00461C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6112</w:t>
            </w:r>
          </w:p>
        </w:tc>
        <w:tc>
          <w:tcPr>
            <w:tcW w:w="449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2D7F44" w:rsidRDefault="00756835" w:rsidP="00461C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Porez i prirez na dohodak od samostalnih djelatnosti</w:t>
            </w:r>
          </w:p>
        </w:tc>
        <w:tc>
          <w:tcPr>
            <w:tcW w:w="1430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2D7F44" w:rsidRDefault="00756835" w:rsidP="00461C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121.562</w:t>
            </w:r>
          </w:p>
        </w:tc>
        <w:tc>
          <w:tcPr>
            <w:tcW w:w="142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2D7F44" w:rsidRDefault="00756835" w:rsidP="00461C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2D7F44" w:rsidRDefault="00756835" w:rsidP="00007F7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0,00%</w:t>
            </w:r>
          </w:p>
        </w:tc>
      </w:tr>
      <w:tr w:rsidR="00756835" w:rsidRPr="002D7F44" w:rsidTr="00C31A95">
        <w:trPr>
          <w:trHeight w:val="355"/>
          <w:jc w:val="center"/>
        </w:trPr>
        <w:tc>
          <w:tcPr>
            <w:tcW w:w="80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Default="00756835" w:rsidP="00461C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6113</w:t>
            </w:r>
          </w:p>
        </w:tc>
        <w:tc>
          <w:tcPr>
            <w:tcW w:w="449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Default="00756835" w:rsidP="00461C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Porez i prirez na dohodak od imovine i imovinskih prava</w:t>
            </w:r>
          </w:p>
        </w:tc>
        <w:tc>
          <w:tcPr>
            <w:tcW w:w="1430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Default="00756835" w:rsidP="00461C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30.649</w:t>
            </w:r>
          </w:p>
        </w:tc>
        <w:tc>
          <w:tcPr>
            <w:tcW w:w="142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Default="00756835" w:rsidP="00461C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Default="00756835" w:rsidP="00007F7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0,00%</w:t>
            </w:r>
          </w:p>
        </w:tc>
      </w:tr>
      <w:tr w:rsidR="00756835" w:rsidRPr="002D7F44" w:rsidTr="00C31A95">
        <w:trPr>
          <w:trHeight w:val="355"/>
          <w:jc w:val="center"/>
        </w:trPr>
        <w:tc>
          <w:tcPr>
            <w:tcW w:w="80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Default="00756835" w:rsidP="00461C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6114</w:t>
            </w:r>
          </w:p>
        </w:tc>
        <w:tc>
          <w:tcPr>
            <w:tcW w:w="449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Default="00756835" w:rsidP="00461C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Porez i prirez na dohodak od kapitala</w:t>
            </w:r>
          </w:p>
        </w:tc>
        <w:tc>
          <w:tcPr>
            <w:tcW w:w="1430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Default="00756835" w:rsidP="00461C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40.753</w:t>
            </w:r>
          </w:p>
        </w:tc>
        <w:tc>
          <w:tcPr>
            <w:tcW w:w="142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Default="00756835" w:rsidP="00461C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Default="00756835" w:rsidP="00007F7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0,00%</w:t>
            </w:r>
          </w:p>
        </w:tc>
      </w:tr>
      <w:tr w:rsidR="00756835" w:rsidRPr="002D7F44" w:rsidTr="00C31A95">
        <w:trPr>
          <w:trHeight w:val="355"/>
          <w:jc w:val="center"/>
        </w:trPr>
        <w:tc>
          <w:tcPr>
            <w:tcW w:w="80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Default="00756835" w:rsidP="00461C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6116</w:t>
            </w:r>
          </w:p>
        </w:tc>
        <w:tc>
          <w:tcPr>
            <w:tcW w:w="449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Default="00756835" w:rsidP="00461C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Porez i prirez na dohodak utvrđen u postupku nadzora za prethodne godine</w:t>
            </w:r>
          </w:p>
        </w:tc>
        <w:tc>
          <w:tcPr>
            <w:tcW w:w="1430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Default="00756835" w:rsidP="00461C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30.644</w:t>
            </w:r>
          </w:p>
        </w:tc>
        <w:tc>
          <w:tcPr>
            <w:tcW w:w="142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Default="00756835" w:rsidP="00461C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Default="00756835" w:rsidP="00007F7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0,00%</w:t>
            </w:r>
          </w:p>
        </w:tc>
      </w:tr>
      <w:tr w:rsidR="00756835" w:rsidRPr="00461CD4" w:rsidTr="00C31A95">
        <w:trPr>
          <w:trHeight w:val="355"/>
          <w:jc w:val="center"/>
        </w:trPr>
        <w:tc>
          <w:tcPr>
            <w:tcW w:w="80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461CD4">
            <w:pPr>
              <w:jc w:val="right"/>
              <w:rPr>
                <w:rFonts w:ascii="Calibri" w:hAnsi="Calibri"/>
                <w:color w:val="000000"/>
              </w:rPr>
            </w:pPr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>6134</w:t>
            </w:r>
          </w:p>
        </w:tc>
        <w:tc>
          <w:tcPr>
            <w:tcW w:w="449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461CD4">
            <w:pPr>
              <w:rPr>
                <w:rFonts w:ascii="Calibri" w:hAnsi="Calibri"/>
                <w:color w:val="000000"/>
              </w:rPr>
            </w:pPr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>Porez na promet nekretninama</w:t>
            </w:r>
          </w:p>
        </w:tc>
        <w:tc>
          <w:tcPr>
            <w:tcW w:w="1430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461C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173.159</w:t>
            </w:r>
          </w:p>
        </w:tc>
        <w:tc>
          <w:tcPr>
            <w:tcW w:w="142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461C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97.288</w:t>
            </w:r>
          </w:p>
        </w:tc>
        <w:tc>
          <w:tcPr>
            <w:tcW w:w="123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461C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56,2%</w:t>
            </w:r>
          </w:p>
        </w:tc>
      </w:tr>
      <w:tr w:rsidR="00756835" w:rsidRPr="00461CD4" w:rsidTr="00C31A95">
        <w:trPr>
          <w:trHeight w:val="355"/>
          <w:jc w:val="center"/>
        </w:trPr>
        <w:tc>
          <w:tcPr>
            <w:tcW w:w="80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461CD4">
            <w:pPr>
              <w:jc w:val="right"/>
              <w:rPr>
                <w:rFonts w:ascii="Calibri" w:hAnsi="Calibri"/>
                <w:color w:val="000000"/>
              </w:rPr>
            </w:pPr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>6142</w:t>
            </w:r>
          </w:p>
        </w:tc>
        <w:tc>
          <w:tcPr>
            <w:tcW w:w="449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461C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Porez na potrošnju alk</w:t>
            </w:r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>oholnih i bezalkoholnih pića</w:t>
            </w:r>
          </w:p>
        </w:tc>
        <w:tc>
          <w:tcPr>
            <w:tcW w:w="1430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461C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2.795</w:t>
            </w:r>
          </w:p>
        </w:tc>
        <w:tc>
          <w:tcPr>
            <w:tcW w:w="142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461C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10.516</w:t>
            </w:r>
          </w:p>
        </w:tc>
        <w:tc>
          <w:tcPr>
            <w:tcW w:w="123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461C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376,2%</w:t>
            </w:r>
          </w:p>
        </w:tc>
      </w:tr>
      <w:tr w:rsidR="00756835" w:rsidRPr="00461CD4" w:rsidTr="00C31A95">
        <w:trPr>
          <w:trHeight w:val="355"/>
          <w:jc w:val="center"/>
        </w:trPr>
        <w:tc>
          <w:tcPr>
            <w:tcW w:w="80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461CD4">
            <w:pPr>
              <w:jc w:val="right"/>
              <w:rPr>
                <w:rFonts w:ascii="Calibri" w:hAnsi="Calibri"/>
                <w:color w:val="000000"/>
              </w:rPr>
            </w:pPr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>6145</w:t>
            </w:r>
          </w:p>
        </w:tc>
        <w:tc>
          <w:tcPr>
            <w:tcW w:w="449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461CD4">
            <w:pPr>
              <w:rPr>
                <w:rFonts w:ascii="Calibri" w:hAnsi="Calibri"/>
                <w:color w:val="000000"/>
              </w:rPr>
            </w:pPr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>Porez na tvrtku</w:t>
            </w:r>
          </w:p>
        </w:tc>
        <w:tc>
          <w:tcPr>
            <w:tcW w:w="1430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461C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9.124</w:t>
            </w:r>
          </w:p>
        </w:tc>
        <w:tc>
          <w:tcPr>
            <w:tcW w:w="142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461C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6.473</w:t>
            </w:r>
          </w:p>
        </w:tc>
        <w:tc>
          <w:tcPr>
            <w:tcW w:w="123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461C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70,9%</w:t>
            </w:r>
          </w:p>
        </w:tc>
      </w:tr>
      <w:tr w:rsidR="00756835" w:rsidRPr="00462A4E" w:rsidTr="00C31A95">
        <w:trPr>
          <w:trHeight w:val="355"/>
          <w:jc w:val="center"/>
        </w:trPr>
        <w:tc>
          <w:tcPr>
            <w:tcW w:w="80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2A4E" w:rsidRDefault="00756835" w:rsidP="00462A4E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63</w:t>
            </w:r>
          </w:p>
        </w:tc>
        <w:tc>
          <w:tcPr>
            <w:tcW w:w="449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2A4E" w:rsidRDefault="00756835" w:rsidP="00462A4E">
            <w:pPr>
              <w:rPr>
                <w:rFonts w:ascii="Calibri" w:hAnsi="Calibri"/>
                <w:b/>
                <w:color w:val="000000"/>
              </w:rPr>
            </w:pPr>
            <w:r w:rsidRPr="00AF35F3">
              <w:rPr>
                <w:rFonts w:ascii="Calibri" w:hAnsi="Calibri"/>
                <w:b/>
                <w:sz w:val="22"/>
                <w:szCs w:val="22"/>
              </w:rPr>
              <w:t>Pomoći iz inozemstva i od subjekata unutar općeg proračuna</w:t>
            </w:r>
          </w:p>
        </w:tc>
        <w:tc>
          <w:tcPr>
            <w:tcW w:w="1430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Default="00756835" w:rsidP="00462A4E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2.463.072</w:t>
            </w:r>
          </w:p>
        </w:tc>
        <w:tc>
          <w:tcPr>
            <w:tcW w:w="142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AF35F3" w:rsidRDefault="00756835" w:rsidP="00462A4E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1.779.318</w:t>
            </w:r>
          </w:p>
        </w:tc>
        <w:tc>
          <w:tcPr>
            <w:tcW w:w="123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Default="00756835" w:rsidP="00007F77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72,2%</w:t>
            </w:r>
          </w:p>
        </w:tc>
      </w:tr>
      <w:tr w:rsidR="00756835" w:rsidRPr="00462A4E" w:rsidTr="00C31A95">
        <w:trPr>
          <w:trHeight w:val="355"/>
          <w:jc w:val="center"/>
        </w:trPr>
        <w:tc>
          <w:tcPr>
            <w:tcW w:w="80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2A4E" w:rsidRDefault="00756835" w:rsidP="00462A4E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462A4E">
              <w:rPr>
                <w:rFonts w:ascii="Calibri" w:hAnsi="Calibri"/>
                <w:b/>
                <w:color w:val="000000"/>
                <w:sz w:val="22"/>
                <w:szCs w:val="22"/>
              </w:rPr>
              <w:t>63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49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2A4E" w:rsidRDefault="00756835" w:rsidP="00462A4E">
            <w:pPr>
              <w:rPr>
                <w:rFonts w:ascii="Calibri" w:hAnsi="Calibri"/>
                <w:b/>
                <w:color w:val="000000"/>
              </w:rPr>
            </w:pPr>
            <w:r w:rsidRPr="00462A4E">
              <w:rPr>
                <w:rFonts w:ascii="Calibri" w:hAnsi="Calibri"/>
                <w:b/>
                <w:color w:val="000000"/>
                <w:sz w:val="22"/>
                <w:szCs w:val="22"/>
              </w:rPr>
              <w:t>Pomoći iz inozemstva i subjekata unutar općeg proračuna</w:t>
            </w:r>
          </w:p>
        </w:tc>
        <w:tc>
          <w:tcPr>
            <w:tcW w:w="1430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462A4E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2.463.072</w:t>
            </w:r>
          </w:p>
        </w:tc>
        <w:tc>
          <w:tcPr>
            <w:tcW w:w="142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462A4E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1.748.601</w:t>
            </w:r>
          </w:p>
        </w:tc>
        <w:tc>
          <w:tcPr>
            <w:tcW w:w="123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2A4E" w:rsidRDefault="00756835" w:rsidP="00007F77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71,0%</w:t>
            </w:r>
          </w:p>
        </w:tc>
      </w:tr>
      <w:tr w:rsidR="00756835" w:rsidRPr="00461CD4" w:rsidTr="00C31A95">
        <w:trPr>
          <w:trHeight w:val="355"/>
          <w:jc w:val="center"/>
        </w:trPr>
        <w:tc>
          <w:tcPr>
            <w:tcW w:w="80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461CD4">
            <w:pPr>
              <w:jc w:val="right"/>
              <w:rPr>
                <w:rFonts w:ascii="Calibri" w:hAnsi="Calibri"/>
                <w:color w:val="000000"/>
              </w:rPr>
            </w:pPr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>6331</w:t>
            </w:r>
          </w:p>
        </w:tc>
        <w:tc>
          <w:tcPr>
            <w:tcW w:w="449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461CD4">
            <w:pPr>
              <w:rPr>
                <w:rFonts w:ascii="Calibri" w:hAnsi="Calibri"/>
                <w:color w:val="000000"/>
              </w:rPr>
            </w:pPr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>Tekuće pomoći iz proračuna</w:t>
            </w:r>
          </w:p>
        </w:tc>
        <w:tc>
          <w:tcPr>
            <w:tcW w:w="1430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461C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585.840</w:t>
            </w:r>
          </w:p>
        </w:tc>
        <w:tc>
          <w:tcPr>
            <w:tcW w:w="142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461C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1.026.672</w:t>
            </w:r>
          </w:p>
        </w:tc>
        <w:tc>
          <w:tcPr>
            <w:tcW w:w="123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461C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175,2%</w:t>
            </w:r>
          </w:p>
        </w:tc>
      </w:tr>
      <w:tr w:rsidR="00756835" w:rsidRPr="009812C7" w:rsidTr="00C31A95">
        <w:trPr>
          <w:trHeight w:val="355"/>
          <w:jc w:val="center"/>
        </w:trPr>
        <w:tc>
          <w:tcPr>
            <w:tcW w:w="80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9812C7" w:rsidRDefault="00756835" w:rsidP="00462A4E">
            <w:pPr>
              <w:jc w:val="right"/>
              <w:rPr>
                <w:rFonts w:ascii="Calibri" w:hAnsi="Calibri"/>
                <w:color w:val="000000"/>
              </w:rPr>
            </w:pPr>
            <w:r w:rsidRPr="009812C7">
              <w:rPr>
                <w:rFonts w:ascii="Calibri" w:hAnsi="Calibri"/>
                <w:color w:val="000000"/>
                <w:sz w:val="22"/>
                <w:szCs w:val="22"/>
              </w:rPr>
              <w:t>6332</w:t>
            </w:r>
          </w:p>
        </w:tc>
        <w:tc>
          <w:tcPr>
            <w:tcW w:w="449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9812C7" w:rsidRDefault="00756835" w:rsidP="00462A4E">
            <w:pPr>
              <w:rPr>
                <w:rFonts w:ascii="Calibri" w:hAnsi="Calibri"/>
                <w:color w:val="000000"/>
              </w:rPr>
            </w:pPr>
            <w:r w:rsidRPr="009812C7">
              <w:rPr>
                <w:rFonts w:ascii="Calibri" w:hAnsi="Calibri"/>
                <w:color w:val="000000"/>
                <w:sz w:val="22"/>
                <w:szCs w:val="22"/>
              </w:rPr>
              <w:t>Kapitalne pomoći iz proračuna</w:t>
            </w:r>
          </w:p>
        </w:tc>
        <w:tc>
          <w:tcPr>
            <w:tcW w:w="1430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9812C7" w:rsidRDefault="00756835" w:rsidP="00462A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1.877.232</w:t>
            </w:r>
          </w:p>
        </w:tc>
        <w:tc>
          <w:tcPr>
            <w:tcW w:w="142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9812C7" w:rsidRDefault="00756835" w:rsidP="00462A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721.929</w:t>
            </w:r>
          </w:p>
        </w:tc>
        <w:tc>
          <w:tcPr>
            <w:tcW w:w="123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9812C7" w:rsidRDefault="00756835" w:rsidP="00462A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38,5%</w:t>
            </w:r>
          </w:p>
        </w:tc>
      </w:tr>
      <w:tr w:rsidR="00756835" w:rsidRPr="00187117" w:rsidTr="00C31A95">
        <w:trPr>
          <w:trHeight w:val="355"/>
          <w:jc w:val="center"/>
        </w:trPr>
        <w:tc>
          <w:tcPr>
            <w:tcW w:w="80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187117" w:rsidRDefault="00756835" w:rsidP="00462A4E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634</w:t>
            </w:r>
          </w:p>
        </w:tc>
        <w:tc>
          <w:tcPr>
            <w:tcW w:w="449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AF35F3" w:rsidRDefault="00756835" w:rsidP="00462A4E">
            <w:pPr>
              <w:rPr>
                <w:rFonts w:ascii="Calibri" w:hAnsi="Calibri"/>
                <w:b/>
                <w:color w:val="000000"/>
              </w:rPr>
            </w:pPr>
            <w:r w:rsidRPr="00AF35F3">
              <w:rPr>
                <w:rFonts w:ascii="Calibri" w:hAnsi="Calibri"/>
                <w:b/>
                <w:sz w:val="22"/>
                <w:szCs w:val="22"/>
              </w:rPr>
              <w:t>Pomoći od izvanproračunskih korisnika</w:t>
            </w:r>
          </w:p>
        </w:tc>
        <w:tc>
          <w:tcPr>
            <w:tcW w:w="1430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187117" w:rsidRDefault="00756835" w:rsidP="00AF35F3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187117" w:rsidRDefault="00756835" w:rsidP="00462A4E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30.717</w:t>
            </w:r>
          </w:p>
        </w:tc>
        <w:tc>
          <w:tcPr>
            <w:tcW w:w="123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AF35F3" w:rsidRDefault="00756835" w:rsidP="00462A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0,00%</w:t>
            </w:r>
          </w:p>
        </w:tc>
      </w:tr>
      <w:tr w:rsidR="00756835" w:rsidRPr="00187117" w:rsidTr="00C31A95">
        <w:trPr>
          <w:trHeight w:val="355"/>
          <w:jc w:val="center"/>
        </w:trPr>
        <w:tc>
          <w:tcPr>
            <w:tcW w:w="80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AF35F3" w:rsidRDefault="00756835" w:rsidP="00462A4E">
            <w:pPr>
              <w:jc w:val="right"/>
              <w:rPr>
                <w:rFonts w:ascii="Calibri" w:hAnsi="Calibri"/>
                <w:color w:val="000000"/>
              </w:rPr>
            </w:pPr>
            <w:r w:rsidRPr="00AF35F3">
              <w:rPr>
                <w:rFonts w:ascii="Calibri" w:hAnsi="Calibri"/>
                <w:color w:val="000000"/>
                <w:sz w:val="22"/>
                <w:szCs w:val="22"/>
              </w:rPr>
              <w:t>6341</w:t>
            </w:r>
          </w:p>
        </w:tc>
        <w:tc>
          <w:tcPr>
            <w:tcW w:w="449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AF35F3" w:rsidRDefault="00756835" w:rsidP="00462A4E">
            <w:pPr>
              <w:rPr>
                <w:rFonts w:ascii="Calibri" w:hAnsi="Calibri"/>
                <w:color w:val="000000"/>
              </w:rPr>
            </w:pPr>
            <w:r w:rsidRPr="00AF35F3">
              <w:rPr>
                <w:rFonts w:ascii="Calibri" w:hAnsi="Calibri"/>
                <w:sz w:val="22"/>
                <w:szCs w:val="22"/>
              </w:rPr>
              <w:t>Tekuće pomoći od izvanproračunskih korisnika</w:t>
            </w:r>
          </w:p>
        </w:tc>
        <w:tc>
          <w:tcPr>
            <w:tcW w:w="1430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AF35F3" w:rsidRDefault="00756835" w:rsidP="00462A4E">
            <w:pPr>
              <w:jc w:val="right"/>
              <w:rPr>
                <w:rFonts w:ascii="Calibri" w:hAnsi="Calibri"/>
              </w:rPr>
            </w:pPr>
            <w:r w:rsidRPr="00AF35F3">
              <w:rPr>
                <w:rFonts w:ascii="Calibri" w:hAnsi="Calibri"/>
                <w:sz w:val="22"/>
                <w:szCs w:val="22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AF35F3" w:rsidRDefault="00756835" w:rsidP="00462A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30.717</w:t>
            </w:r>
          </w:p>
        </w:tc>
        <w:tc>
          <w:tcPr>
            <w:tcW w:w="123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AF35F3" w:rsidRDefault="00756835" w:rsidP="00462A4E">
            <w:pPr>
              <w:jc w:val="right"/>
              <w:rPr>
                <w:rFonts w:ascii="Calibri" w:hAnsi="Calibri"/>
                <w:color w:val="000000"/>
              </w:rPr>
            </w:pPr>
            <w:r w:rsidRPr="00AF35F3">
              <w:rPr>
                <w:rFonts w:ascii="Calibri" w:hAnsi="Calibri"/>
                <w:color w:val="000000"/>
                <w:sz w:val="22"/>
                <w:szCs w:val="22"/>
              </w:rPr>
              <w:t>0,00%</w:t>
            </w:r>
          </w:p>
        </w:tc>
      </w:tr>
      <w:tr w:rsidR="00756835" w:rsidRPr="00187117" w:rsidTr="00C31A95">
        <w:trPr>
          <w:trHeight w:val="355"/>
          <w:jc w:val="center"/>
        </w:trPr>
        <w:tc>
          <w:tcPr>
            <w:tcW w:w="80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187117" w:rsidRDefault="00756835" w:rsidP="00462A4E">
            <w:pPr>
              <w:jc w:val="right"/>
              <w:rPr>
                <w:rFonts w:ascii="Calibri" w:hAnsi="Calibri"/>
                <w:b/>
              </w:rPr>
            </w:pPr>
            <w:r w:rsidRPr="00187117">
              <w:rPr>
                <w:rFonts w:ascii="Calibri" w:hAnsi="Calibri"/>
                <w:b/>
                <w:sz w:val="22"/>
                <w:szCs w:val="22"/>
              </w:rPr>
              <w:lastRenderedPageBreak/>
              <w:t>64</w:t>
            </w:r>
          </w:p>
        </w:tc>
        <w:tc>
          <w:tcPr>
            <w:tcW w:w="449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187117" w:rsidRDefault="00756835" w:rsidP="00462A4E">
            <w:pPr>
              <w:rPr>
                <w:rFonts w:ascii="Calibri" w:hAnsi="Calibri"/>
                <w:b/>
              </w:rPr>
            </w:pPr>
            <w:r w:rsidRPr="00187117">
              <w:rPr>
                <w:rFonts w:ascii="Calibri" w:hAnsi="Calibri"/>
                <w:b/>
                <w:sz w:val="22"/>
                <w:szCs w:val="22"/>
              </w:rPr>
              <w:t>Prihodi od imovine</w:t>
            </w:r>
          </w:p>
        </w:tc>
        <w:tc>
          <w:tcPr>
            <w:tcW w:w="1430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187117" w:rsidRDefault="00756835" w:rsidP="00462A4E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546.075</w:t>
            </w:r>
          </w:p>
        </w:tc>
        <w:tc>
          <w:tcPr>
            <w:tcW w:w="142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187117" w:rsidRDefault="00756835" w:rsidP="00462A4E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458.558</w:t>
            </w:r>
          </w:p>
        </w:tc>
        <w:tc>
          <w:tcPr>
            <w:tcW w:w="123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187117" w:rsidRDefault="00756835" w:rsidP="00462A4E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84,0%</w:t>
            </w:r>
          </w:p>
        </w:tc>
      </w:tr>
      <w:tr w:rsidR="00756835" w:rsidRPr="00461CD4" w:rsidTr="00C31A95">
        <w:trPr>
          <w:trHeight w:val="355"/>
          <w:jc w:val="center"/>
        </w:trPr>
        <w:tc>
          <w:tcPr>
            <w:tcW w:w="80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461CD4">
            <w:pPr>
              <w:jc w:val="right"/>
              <w:rPr>
                <w:rFonts w:ascii="Calibri" w:hAnsi="Calibri"/>
                <w:color w:val="000000"/>
              </w:rPr>
            </w:pPr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>6413</w:t>
            </w:r>
          </w:p>
        </w:tc>
        <w:tc>
          <w:tcPr>
            <w:tcW w:w="449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461CD4">
            <w:pPr>
              <w:rPr>
                <w:rFonts w:ascii="Calibri" w:hAnsi="Calibri"/>
                <w:color w:val="000000"/>
              </w:rPr>
            </w:pPr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>Kamate na oročena sredstva i depozite po viđenju</w:t>
            </w:r>
          </w:p>
        </w:tc>
        <w:tc>
          <w:tcPr>
            <w:tcW w:w="1430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461C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142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461C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107</w:t>
            </w:r>
          </w:p>
        </w:tc>
        <w:tc>
          <w:tcPr>
            <w:tcW w:w="123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E15A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18,8%</w:t>
            </w:r>
          </w:p>
        </w:tc>
      </w:tr>
      <w:tr w:rsidR="00756835" w:rsidRPr="00461CD4" w:rsidTr="00C31A95">
        <w:trPr>
          <w:trHeight w:val="355"/>
          <w:jc w:val="center"/>
        </w:trPr>
        <w:tc>
          <w:tcPr>
            <w:tcW w:w="80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461CD4">
            <w:pPr>
              <w:jc w:val="right"/>
              <w:rPr>
                <w:rFonts w:ascii="Calibri" w:hAnsi="Calibri"/>
                <w:color w:val="000000"/>
              </w:rPr>
            </w:pPr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>6421</w:t>
            </w:r>
          </w:p>
        </w:tc>
        <w:tc>
          <w:tcPr>
            <w:tcW w:w="449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461CD4">
            <w:pPr>
              <w:rPr>
                <w:rFonts w:ascii="Calibri" w:hAnsi="Calibri"/>
                <w:color w:val="000000"/>
              </w:rPr>
            </w:pPr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>Naknade za koncesije</w:t>
            </w:r>
          </w:p>
        </w:tc>
        <w:tc>
          <w:tcPr>
            <w:tcW w:w="1430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461C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182.999</w:t>
            </w:r>
          </w:p>
        </w:tc>
        <w:tc>
          <w:tcPr>
            <w:tcW w:w="142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461C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193.233</w:t>
            </w:r>
          </w:p>
        </w:tc>
        <w:tc>
          <w:tcPr>
            <w:tcW w:w="123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461C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105,6%</w:t>
            </w:r>
          </w:p>
        </w:tc>
      </w:tr>
      <w:tr w:rsidR="00756835" w:rsidRPr="00461CD4" w:rsidTr="00C31A95">
        <w:trPr>
          <w:trHeight w:val="355"/>
          <w:jc w:val="center"/>
        </w:trPr>
        <w:tc>
          <w:tcPr>
            <w:tcW w:w="80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461CD4">
            <w:pPr>
              <w:jc w:val="right"/>
              <w:rPr>
                <w:rFonts w:ascii="Calibri" w:hAnsi="Calibri"/>
                <w:color w:val="000000"/>
              </w:rPr>
            </w:pPr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>6422</w:t>
            </w:r>
          </w:p>
        </w:tc>
        <w:tc>
          <w:tcPr>
            <w:tcW w:w="449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461CD4">
            <w:pPr>
              <w:rPr>
                <w:rFonts w:ascii="Calibri" w:hAnsi="Calibri"/>
                <w:color w:val="000000"/>
              </w:rPr>
            </w:pPr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>Prihodi od zakupa i iznajmljivanja imovine</w:t>
            </w:r>
          </w:p>
        </w:tc>
        <w:tc>
          <w:tcPr>
            <w:tcW w:w="1430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461C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281.286</w:t>
            </w:r>
          </w:p>
        </w:tc>
        <w:tc>
          <w:tcPr>
            <w:tcW w:w="142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461C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228.222</w:t>
            </w:r>
          </w:p>
        </w:tc>
        <w:tc>
          <w:tcPr>
            <w:tcW w:w="123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E15A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81,1%</w:t>
            </w:r>
          </w:p>
        </w:tc>
      </w:tr>
      <w:tr w:rsidR="00756835" w:rsidRPr="00461CD4" w:rsidTr="00C31A95">
        <w:trPr>
          <w:trHeight w:val="355"/>
          <w:jc w:val="center"/>
        </w:trPr>
        <w:tc>
          <w:tcPr>
            <w:tcW w:w="80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461C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6423</w:t>
            </w:r>
          </w:p>
        </w:tc>
        <w:tc>
          <w:tcPr>
            <w:tcW w:w="449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461C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Naknada za korištenje nefinancijske imovine</w:t>
            </w:r>
          </w:p>
        </w:tc>
        <w:tc>
          <w:tcPr>
            <w:tcW w:w="1430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Default="00756835" w:rsidP="00461C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42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Default="00756835" w:rsidP="00461C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Default="00756835" w:rsidP="00E15A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0,00%</w:t>
            </w:r>
          </w:p>
        </w:tc>
      </w:tr>
      <w:tr w:rsidR="00756835" w:rsidRPr="00461CD4" w:rsidTr="00C31A95">
        <w:trPr>
          <w:trHeight w:val="355"/>
          <w:jc w:val="center"/>
        </w:trPr>
        <w:tc>
          <w:tcPr>
            <w:tcW w:w="80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461C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6429</w:t>
            </w:r>
          </w:p>
        </w:tc>
        <w:tc>
          <w:tcPr>
            <w:tcW w:w="449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461C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Ostali prihodi od</w:t>
            </w:r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 xml:space="preserve"> nefinancijske imovine</w:t>
            </w:r>
          </w:p>
        </w:tc>
        <w:tc>
          <w:tcPr>
            <w:tcW w:w="1430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1871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81.133</w:t>
            </w:r>
          </w:p>
        </w:tc>
        <w:tc>
          <w:tcPr>
            <w:tcW w:w="142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1871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36.996</w:t>
            </w:r>
          </w:p>
        </w:tc>
        <w:tc>
          <w:tcPr>
            <w:tcW w:w="123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E15A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45,6%</w:t>
            </w:r>
          </w:p>
        </w:tc>
      </w:tr>
      <w:tr w:rsidR="00756835" w:rsidRPr="00462A4E" w:rsidTr="00C31A95">
        <w:trPr>
          <w:trHeight w:val="355"/>
          <w:jc w:val="center"/>
        </w:trPr>
        <w:tc>
          <w:tcPr>
            <w:tcW w:w="80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2A4E" w:rsidRDefault="00756835" w:rsidP="00462A4E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462A4E">
              <w:rPr>
                <w:rFonts w:ascii="Calibri" w:hAnsi="Calibri"/>
                <w:b/>
                <w:color w:val="000000"/>
                <w:sz w:val="22"/>
                <w:szCs w:val="22"/>
              </w:rPr>
              <w:t>65</w:t>
            </w:r>
          </w:p>
        </w:tc>
        <w:tc>
          <w:tcPr>
            <w:tcW w:w="449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2A4E" w:rsidRDefault="00756835" w:rsidP="00462A4E">
            <w:pPr>
              <w:rPr>
                <w:rFonts w:ascii="Calibri" w:hAnsi="Calibri"/>
                <w:b/>
                <w:color w:val="000000"/>
              </w:rPr>
            </w:pPr>
            <w:r w:rsidRPr="00462A4E">
              <w:rPr>
                <w:rFonts w:ascii="Calibri" w:hAnsi="Calibri"/>
                <w:b/>
                <w:color w:val="000000"/>
                <w:sz w:val="22"/>
                <w:szCs w:val="22"/>
              </w:rPr>
              <w:t>Prihodi od upravnih i administrativnih i upravnih pristojbi</w:t>
            </w:r>
          </w:p>
        </w:tc>
        <w:tc>
          <w:tcPr>
            <w:tcW w:w="1430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2A4E" w:rsidRDefault="00756835" w:rsidP="00187117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383.574</w:t>
            </w:r>
          </w:p>
        </w:tc>
        <w:tc>
          <w:tcPr>
            <w:tcW w:w="142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2A4E" w:rsidRDefault="00756835" w:rsidP="00462A4E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495.420</w:t>
            </w:r>
          </w:p>
        </w:tc>
        <w:tc>
          <w:tcPr>
            <w:tcW w:w="123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2A4E" w:rsidRDefault="00756835" w:rsidP="00462A4E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129,2%</w:t>
            </w:r>
          </w:p>
        </w:tc>
      </w:tr>
      <w:tr w:rsidR="00756835" w:rsidRPr="00461CD4" w:rsidTr="00C31A95">
        <w:trPr>
          <w:trHeight w:val="355"/>
          <w:jc w:val="center"/>
        </w:trPr>
        <w:tc>
          <w:tcPr>
            <w:tcW w:w="80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461CD4">
            <w:pPr>
              <w:jc w:val="right"/>
              <w:rPr>
                <w:rFonts w:ascii="Calibri" w:hAnsi="Calibri"/>
                <w:color w:val="000000"/>
              </w:rPr>
            </w:pPr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>6512</w:t>
            </w:r>
          </w:p>
        </w:tc>
        <w:tc>
          <w:tcPr>
            <w:tcW w:w="449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461C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Županijske, gradske i općinske pristojbe i naknade</w:t>
            </w:r>
          </w:p>
        </w:tc>
        <w:tc>
          <w:tcPr>
            <w:tcW w:w="1430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461C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70.840</w:t>
            </w:r>
          </w:p>
        </w:tc>
        <w:tc>
          <w:tcPr>
            <w:tcW w:w="142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461C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76.040</w:t>
            </w:r>
          </w:p>
        </w:tc>
        <w:tc>
          <w:tcPr>
            <w:tcW w:w="123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461C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107,3</w:t>
            </w:r>
          </w:p>
        </w:tc>
      </w:tr>
      <w:tr w:rsidR="00756835" w:rsidRPr="00461CD4" w:rsidTr="00C31A95">
        <w:trPr>
          <w:trHeight w:val="355"/>
          <w:jc w:val="center"/>
        </w:trPr>
        <w:tc>
          <w:tcPr>
            <w:tcW w:w="80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725A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6522</w:t>
            </w:r>
          </w:p>
        </w:tc>
        <w:tc>
          <w:tcPr>
            <w:tcW w:w="449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725A3A" w:rsidRDefault="00756835" w:rsidP="00461CD4">
            <w:pPr>
              <w:rPr>
                <w:rFonts w:ascii="Calibri" w:hAnsi="Calibri"/>
              </w:rPr>
            </w:pPr>
            <w:r w:rsidRPr="00725A3A">
              <w:rPr>
                <w:rFonts w:ascii="Calibri" w:hAnsi="Calibri"/>
                <w:sz w:val="22"/>
                <w:szCs w:val="22"/>
              </w:rPr>
              <w:t>Prihodi vodnog gospodarstva</w:t>
            </w:r>
          </w:p>
        </w:tc>
        <w:tc>
          <w:tcPr>
            <w:tcW w:w="1430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Default="00756835" w:rsidP="00461C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725A3A" w:rsidRDefault="00756835" w:rsidP="00461C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4.352</w:t>
            </w:r>
          </w:p>
        </w:tc>
        <w:tc>
          <w:tcPr>
            <w:tcW w:w="123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Default="00756835" w:rsidP="00461C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0,00%</w:t>
            </w:r>
          </w:p>
        </w:tc>
      </w:tr>
      <w:tr w:rsidR="00756835" w:rsidRPr="00461CD4" w:rsidTr="00C31A95">
        <w:trPr>
          <w:trHeight w:val="355"/>
          <w:jc w:val="center"/>
        </w:trPr>
        <w:tc>
          <w:tcPr>
            <w:tcW w:w="80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461CD4">
            <w:pPr>
              <w:jc w:val="right"/>
              <w:rPr>
                <w:rFonts w:ascii="Calibri" w:hAnsi="Calibri"/>
                <w:color w:val="000000"/>
              </w:rPr>
            </w:pPr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>6524</w:t>
            </w:r>
          </w:p>
        </w:tc>
        <w:tc>
          <w:tcPr>
            <w:tcW w:w="449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461CD4">
            <w:pPr>
              <w:rPr>
                <w:rFonts w:ascii="Calibri" w:hAnsi="Calibri"/>
                <w:color w:val="000000"/>
              </w:rPr>
            </w:pPr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>Doprinosi za šume</w:t>
            </w:r>
          </w:p>
        </w:tc>
        <w:tc>
          <w:tcPr>
            <w:tcW w:w="1430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461C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51.093</w:t>
            </w:r>
          </w:p>
        </w:tc>
        <w:tc>
          <w:tcPr>
            <w:tcW w:w="142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461C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4.928</w:t>
            </w:r>
          </w:p>
        </w:tc>
        <w:tc>
          <w:tcPr>
            <w:tcW w:w="123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461C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9,60%</w:t>
            </w:r>
          </w:p>
        </w:tc>
      </w:tr>
      <w:tr w:rsidR="00756835" w:rsidRPr="00461CD4" w:rsidTr="00C31A95">
        <w:trPr>
          <w:trHeight w:val="355"/>
          <w:jc w:val="center"/>
        </w:trPr>
        <w:tc>
          <w:tcPr>
            <w:tcW w:w="80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461CD4">
            <w:pPr>
              <w:jc w:val="right"/>
              <w:rPr>
                <w:rFonts w:ascii="Calibri" w:hAnsi="Calibri"/>
                <w:color w:val="000000"/>
              </w:rPr>
            </w:pPr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>6526</w:t>
            </w:r>
          </w:p>
        </w:tc>
        <w:tc>
          <w:tcPr>
            <w:tcW w:w="449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461CD4">
            <w:pPr>
              <w:rPr>
                <w:rFonts w:ascii="Calibri" w:hAnsi="Calibri"/>
                <w:color w:val="000000"/>
              </w:rPr>
            </w:pPr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 xml:space="preserve">Ostali nespomenuti prihodi </w:t>
            </w:r>
          </w:p>
        </w:tc>
        <w:tc>
          <w:tcPr>
            <w:tcW w:w="1430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461C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22.288</w:t>
            </w:r>
          </w:p>
        </w:tc>
        <w:tc>
          <w:tcPr>
            <w:tcW w:w="142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461C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31.806</w:t>
            </w:r>
          </w:p>
        </w:tc>
        <w:tc>
          <w:tcPr>
            <w:tcW w:w="123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461C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142,7%</w:t>
            </w:r>
          </w:p>
        </w:tc>
      </w:tr>
      <w:tr w:rsidR="00756835" w:rsidRPr="00461CD4" w:rsidTr="00C31A95">
        <w:trPr>
          <w:trHeight w:val="355"/>
          <w:jc w:val="center"/>
        </w:trPr>
        <w:tc>
          <w:tcPr>
            <w:tcW w:w="80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461CD4">
            <w:pPr>
              <w:jc w:val="right"/>
              <w:rPr>
                <w:rFonts w:ascii="Calibri" w:hAnsi="Calibri"/>
                <w:color w:val="000000"/>
              </w:rPr>
            </w:pPr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>6531</w:t>
            </w:r>
          </w:p>
        </w:tc>
        <w:tc>
          <w:tcPr>
            <w:tcW w:w="449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461CD4">
            <w:pPr>
              <w:rPr>
                <w:rFonts w:ascii="Calibri" w:hAnsi="Calibri"/>
                <w:color w:val="000000"/>
              </w:rPr>
            </w:pPr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>Komunalni doprinosi</w:t>
            </w:r>
          </w:p>
        </w:tc>
        <w:tc>
          <w:tcPr>
            <w:tcW w:w="1430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461C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35.553</w:t>
            </w:r>
          </w:p>
        </w:tc>
        <w:tc>
          <w:tcPr>
            <w:tcW w:w="142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461C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41.454</w:t>
            </w:r>
          </w:p>
        </w:tc>
        <w:tc>
          <w:tcPr>
            <w:tcW w:w="123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461C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116,6%</w:t>
            </w:r>
          </w:p>
        </w:tc>
      </w:tr>
      <w:tr w:rsidR="00756835" w:rsidRPr="00187117" w:rsidTr="00C31A95">
        <w:trPr>
          <w:trHeight w:val="355"/>
          <w:jc w:val="center"/>
        </w:trPr>
        <w:tc>
          <w:tcPr>
            <w:tcW w:w="80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187117" w:rsidRDefault="00756835" w:rsidP="00461CD4">
            <w:pPr>
              <w:jc w:val="right"/>
              <w:rPr>
                <w:rFonts w:ascii="Calibri" w:hAnsi="Calibri"/>
                <w:color w:val="000000"/>
              </w:rPr>
            </w:pPr>
            <w:r w:rsidRPr="00187117">
              <w:rPr>
                <w:rFonts w:ascii="Calibri" w:hAnsi="Calibri"/>
                <w:color w:val="000000"/>
                <w:sz w:val="22"/>
                <w:szCs w:val="22"/>
              </w:rPr>
              <w:t>6532</w:t>
            </w:r>
          </w:p>
        </w:tc>
        <w:tc>
          <w:tcPr>
            <w:tcW w:w="449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187117" w:rsidRDefault="00756835" w:rsidP="00BD4A6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Komunalna naknada</w:t>
            </w:r>
          </w:p>
        </w:tc>
        <w:tc>
          <w:tcPr>
            <w:tcW w:w="1430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187117" w:rsidRDefault="00756835" w:rsidP="00461C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203.800</w:t>
            </w:r>
          </w:p>
        </w:tc>
        <w:tc>
          <w:tcPr>
            <w:tcW w:w="142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187117" w:rsidRDefault="00756835" w:rsidP="00461C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336.840</w:t>
            </w:r>
          </w:p>
        </w:tc>
        <w:tc>
          <w:tcPr>
            <w:tcW w:w="123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187117" w:rsidRDefault="00756835" w:rsidP="00725A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165,3%</w:t>
            </w:r>
          </w:p>
        </w:tc>
      </w:tr>
      <w:tr w:rsidR="00756835" w:rsidRPr="00BD4A64" w:rsidTr="00C31A95">
        <w:trPr>
          <w:trHeight w:val="355"/>
          <w:jc w:val="center"/>
        </w:trPr>
        <w:tc>
          <w:tcPr>
            <w:tcW w:w="80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BD4A64" w:rsidRDefault="00756835" w:rsidP="00461CD4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66</w:t>
            </w:r>
          </w:p>
        </w:tc>
        <w:tc>
          <w:tcPr>
            <w:tcW w:w="449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BD4A64" w:rsidRDefault="00756835" w:rsidP="00BD4A64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Prihodi od prodaje proizvoda i robe te pruženih usluga i prihodi od donacija</w:t>
            </w:r>
          </w:p>
        </w:tc>
        <w:tc>
          <w:tcPr>
            <w:tcW w:w="1430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BD4A64" w:rsidRDefault="00756835" w:rsidP="00461CD4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36.420</w:t>
            </w:r>
          </w:p>
        </w:tc>
        <w:tc>
          <w:tcPr>
            <w:tcW w:w="142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BD4A64" w:rsidRDefault="00756835" w:rsidP="00461CD4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4.795</w:t>
            </w:r>
          </w:p>
        </w:tc>
        <w:tc>
          <w:tcPr>
            <w:tcW w:w="123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BD4A64" w:rsidRDefault="00756835" w:rsidP="00461CD4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13,2%</w:t>
            </w:r>
          </w:p>
        </w:tc>
      </w:tr>
      <w:tr w:rsidR="00756835" w:rsidRPr="008F0468" w:rsidTr="00C31A95">
        <w:trPr>
          <w:trHeight w:val="355"/>
          <w:jc w:val="center"/>
        </w:trPr>
        <w:tc>
          <w:tcPr>
            <w:tcW w:w="80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8F0468" w:rsidRDefault="00756835" w:rsidP="00461CD4">
            <w:pPr>
              <w:jc w:val="right"/>
              <w:rPr>
                <w:rFonts w:ascii="Calibri" w:hAnsi="Calibri"/>
                <w:color w:val="000000"/>
              </w:rPr>
            </w:pPr>
            <w:r w:rsidRPr="008F0468">
              <w:rPr>
                <w:rFonts w:ascii="Calibri" w:hAnsi="Calibri"/>
                <w:color w:val="000000"/>
                <w:sz w:val="22"/>
                <w:szCs w:val="22"/>
              </w:rPr>
              <w:t>6615</w:t>
            </w:r>
          </w:p>
        </w:tc>
        <w:tc>
          <w:tcPr>
            <w:tcW w:w="449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8F0468" w:rsidRDefault="00756835" w:rsidP="00BD4A64">
            <w:pPr>
              <w:rPr>
                <w:rFonts w:ascii="Calibri" w:hAnsi="Calibri"/>
                <w:color w:val="000000"/>
              </w:rPr>
            </w:pPr>
            <w:r w:rsidRPr="008F0468">
              <w:rPr>
                <w:rFonts w:ascii="Calibri" w:hAnsi="Calibri"/>
                <w:color w:val="000000"/>
                <w:sz w:val="22"/>
                <w:szCs w:val="22"/>
              </w:rPr>
              <w:t>Prihodi od pruženih usluga</w:t>
            </w:r>
          </w:p>
        </w:tc>
        <w:tc>
          <w:tcPr>
            <w:tcW w:w="1430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8F0468" w:rsidRDefault="00756835" w:rsidP="00461CD4">
            <w:pPr>
              <w:jc w:val="right"/>
              <w:rPr>
                <w:rFonts w:ascii="Calibri" w:hAnsi="Calibri"/>
                <w:color w:val="000000"/>
              </w:rPr>
            </w:pPr>
            <w:r w:rsidRPr="008F0468">
              <w:rPr>
                <w:rFonts w:ascii="Calibri" w:hAnsi="Calibri"/>
                <w:color w:val="000000"/>
                <w:sz w:val="22"/>
                <w:szCs w:val="22"/>
              </w:rPr>
              <w:t>25.420</w:t>
            </w:r>
          </w:p>
        </w:tc>
        <w:tc>
          <w:tcPr>
            <w:tcW w:w="142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8F0468" w:rsidRDefault="00756835" w:rsidP="00461CD4">
            <w:pPr>
              <w:jc w:val="right"/>
              <w:rPr>
                <w:rFonts w:ascii="Calibri" w:hAnsi="Calibri"/>
                <w:color w:val="000000"/>
              </w:rPr>
            </w:pPr>
            <w:r w:rsidRPr="008F0468">
              <w:rPr>
                <w:rFonts w:ascii="Calibri" w:hAnsi="Calibri"/>
                <w:color w:val="000000"/>
                <w:sz w:val="22"/>
                <w:szCs w:val="22"/>
              </w:rPr>
              <w:t>4.795</w:t>
            </w:r>
          </w:p>
        </w:tc>
        <w:tc>
          <w:tcPr>
            <w:tcW w:w="123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8F0468" w:rsidRDefault="00756835" w:rsidP="00461CD4">
            <w:pPr>
              <w:jc w:val="right"/>
              <w:rPr>
                <w:rFonts w:ascii="Calibri" w:hAnsi="Calibri"/>
                <w:color w:val="000000"/>
              </w:rPr>
            </w:pPr>
            <w:r w:rsidRPr="008F0468">
              <w:rPr>
                <w:rFonts w:ascii="Calibri" w:hAnsi="Calibri"/>
                <w:color w:val="000000"/>
                <w:sz w:val="22"/>
                <w:szCs w:val="22"/>
              </w:rPr>
              <w:t>18,9%</w:t>
            </w:r>
          </w:p>
        </w:tc>
      </w:tr>
      <w:tr w:rsidR="00756835" w:rsidRPr="00461CD4" w:rsidTr="00C31A95">
        <w:trPr>
          <w:trHeight w:val="355"/>
          <w:jc w:val="center"/>
        </w:trPr>
        <w:tc>
          <w:tcPr>
            <w:tcW w:w="80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461C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6632</w:t>
            </w:r>
          </w:p>
        </w:tc>
        <w:tc>
          <w:tcPr>
            <w:tcW w:w="449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461C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Kapitalne donacije</w:t>
            </w:r>
          </w:p>
        </w:tc>
        <w:tc>
          <w:tcPr>
            <w:tcW w:w="1430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461C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11.000</w:t>
            </w:r>
          </w:p>
        </w:tc>
        <w:tc>
          <w:tcPr>
            <w:tcW w:w="142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461C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461C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0,00%</w:t>
            </w:r>
          </w:p>
        </w:tc>
      </w:tr>
      <w:tr w:rsidR="00756835" w:rsidRPr="00BD4A64" w:rsidTr="00C31A95">
        <w:trPr>
          <w:trHeight w:val="355"/>
          <w:jc w:val="center"/>
        </w:trPr>
        <w:tc>
          <w:tcPr>
            <w:tcW w:w="80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BD4A64" w:rsidRDefault="00756835" w:rsidP="003A7E15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68</w:t>
            </w:r>
          </w:p>
        </w:tc>
        <w:tc>
          <w:tcPr>
            <w:tcW w:w="449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BD4A64" w:rsidRDefault="00756835" w:rsidP="003A7E15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Kazne, upravne mjere i ostali prihodi</w:t>
            </w:r>
          </w:p>
        </w:tc>
        <w:tc>
          <w:tcPr>
            <w:tcW w:w="1430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BD4A64" w:rsidRDefault="00756835" w:rsidP="003A7E15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895.079</w:t>
            </w:r>
          </w:p>
        </w:tc>
        <w:tc>
          <w:tcPr>
            <w:tcW w:w="142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BD4A64" w:rsidRDefault="00756835" w:rsidP="003A7E15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380.937</w:t>
            </w:r>
          </w:p>
        </w:tc>
        <w:tc>
          <w:tcPr>
            <w:tcW w:w="123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BD4A64" w:rsidRDefault="00756835" w:rsidP="003A7E15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42,6%</w:t>
            </w:r>
          </w:p>
        </w:tc>
      </w:tr>
      <w:tr w:rsidR="00756835" w:rsidRPr="00461CD4" w:rsidTr="00C31A95">
        <w:trPr>
          <w:trHeight w:val="355"/>
          <w:jc w:val="center"/>
        </w:trPr>
        <w:tc>
          <w:tcPr>
            <w:tcW w:w="80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3A7E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6831</w:t>
            </w:r>
          </w:p>
        </w:tc>
        <w:tc>
          <w:tcPr>
            <w:tcW w:w="449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3A7E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Ostali prihodi</w:t>
            </w:r>
          </w:p>
        </w:tc>
        <w:tc>
          <w:tcPr>
            <w:tcW w:w="1430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3A7E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895.079</w:t>
            </w:r>
          </w:p>
        </w:tc>
        <w:tc>
          <w:tcPr>
            <w:tcW w:w="142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3A7E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380.937</w:t>
            </w:r>
          </w:p>
        </w:tc>
        <w:tc>
          <w:tcPr>
            <w:tcW w:w="123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3A7E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42,6%</w:t>
            </w:r>
          </w:p>
        </w:tc>
      </w:tr>
      <w:tr w:rsidR="00756835" w:rsidRPr="00462A4E" w:rsidTr="00C31A95">
        <w:trPr>
          <w:trHeight w:val="355"/>
          <w:jc w:val="center"/>
        </w:trPr>
        <w:tc>
          <w:tcPr>
            <w:tcW w:w="80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2A4E" w:rsidRDefault="00756835" w:rsidP="00462A4E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462A4E"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449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2A4E" w:rsidRDefault="00756835" w:rsidP="00462A4E">
            <w:pPr>
              <w:rPr>
                <w:rFonts w:ascii="Calibri" w:hAnsi="Calibri"/>
                <w:b/>
                <w:color w:val="000000"/>
              </w:rPr>
            </w:pPr>
            <w:r w:rsidRPr="00462A4E">
              <w:rPr>
                <w:rFonts w:ascii="Calibri" w:hAnsi="Calibri"/>
                <w:b/>
                <w:color w:val="000000"/>
                <w:sz w:val="22"/>
                <w:szCs w:val="22"/>
              </w:rPr>
              <w:t>Prihodi od prodaje nefinancijske imovine</w:t>
            </w:r>
          </w:p>
        </w:tc>
        <w:tc>
          <w:tcPr>
            <w:tcW w:w="1430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2A4E" w:rsidRDefault="00756835" w:rsidP="00462A4E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376.367</w:t>
            </w:r>
          </w:p>
        </w:tc>
        <w:tc>
          <w:tcPr>
            <w:tcW w:w="142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2A4E" w:rsidRDefault="00756835" w:rsidP="00462A4E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382.672</w:t>
            </w:r>
          </w:p>
        </w:tc>
        <w:tc>
          <w:tcPr>
            <w:tcW w:w="123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2A4E" w:rsidRDefault="00756835" w:rsidP="00462A4E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101,7%</w:t>
            </w:r>
          </w:p>
        </w:tc>
      </w:tr>
      <w:tr w:rsidR="00756835" w:rsidRPr="00461CD4" w:rsidTr="00C31A95">
        <w:trPr>
          <w:trHeight w:val="355"/>
          <w:jc w:val="center"/>
        </w:trPr>
        <w:tc>
          <w:tcPr>
            <w:tcW w:w="80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461CD4">
            <w:pPr>
              <w:jc w:val="right"/>
              <w:rPr>
                <w:rFonts w:ascii="Calibri" w:hAnsi="Calibri"/>
                <w:color w:val="000000"/>
              </w:rPr>
            </w:pPr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>7111</w:t>
            </w:r>
          </w:p>
        </w:tc>
        <w:tc>
          <w:tcPr>
            <w:tcW w:w="449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461CD4">
            <w:pPr>
              <w:rPr>
                <w:rFonts w:ascii="Calibri" w:hAnsi="Calibri"/>
                <w:color w:val="000000"/>
              </w:rPr>
            </w:pPr>
            <w:r w:rsidRPr="00461CD4">
              <w:rPr>
                <w:rFonts w:ascii="Calibri" w:hAnsi="Calibri"/>
                <w:color w:val="000000"/>
                <w:sz w:val="22"/>
                <w:szCs w:val="22"/>
              </w:rPr>
              <w:t>Zemljište</w:t>
            </w:r>
          </w:p>
        </w:tc>
        <w:tc>
          <w:tcPr>
            <w:tcW w:w="1430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461C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376.367</w:t>
            </w:r>
          </w:p>
        </w:tc>
        <w:tc>
          <w:tcPr>
            <w:tcW w:w="142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461C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382.672</w:t>
            </w:r>
          </w:p>
        </w:tc>
        <w:tc>
          <w:tcPr>
            <w:tcW w:w="123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461C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101,7%</w:t>
            </w:r>
          </w:p>
        </w:tc>
      </w:tr>
      <w:tr w:rsidR="00756835" w:rsidRPr="00461CD4" w:rsidTr="00C31A95">
        <w:trPr>
          <w:trHeight w:val="355"/>
          <w:jc w:val="center"/>
        </w:trPr>
        <w:tc>
          <w:tcPr>
            <w:tcW w:w="80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461CD4">
            <w:pPr>
              <w:rPr>
                <w:rFonts w:ascii="Calibri" w:hAnsi="Calibri"/>
                <w:b/>
                <w:bCs/>
                <w:color w:val="000000"/>
              </w:rPr>
            </w:pPr>
            <w:r w:rsidRPr="00461C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9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461CD4">
            <w:pPr>
              <w:rPr>
                <w:rFonts w:ascii="Calibri" w:hAnsi="Calibri"/>
                <w:b/>
                <w:bCs/>
                <w:color w:val="000000"/>
              </w:rPr>
            </w:pPr>
            <w:r w:rsidRPr="00461C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430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461CD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5.479.047</w:t>
            </w:r>
          </w:p>
        </w:tc>
        <w:tc>
          <w:tcPr>
            <w:tcW w:w="1423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BD4A6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4.582.545</w:t>
            </w:r>
          </w:p>
        </w:tc>
        <w:tc>
          <w:tcPr>
            <w:tcW w:w="123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461CD4" w:rsidRDefault="00756835" w:rsidP="00226C5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461C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83,64%</w:t>
            </w:r>
          </w:p>
        </w:tc>
      </w:tr>
    </w:tbl>
    <w:p w:rsidR="00756835" w:rsidRDefault="00756835" w:rsidP="00C16C77">
      <w:pPr>
        <w:autoSpaceDE w:val="0"/>
        <w:autoSpaceDN w:val="0"/>
        <w:adjustRightInd w:val="0"/>
        <w:jc w:val="both"/>
        <w:rPr>
          <w:b/>
          <w:i/>
          <w:lang w:eastAsia="en-US"/>
        </w:rPr>
      </w:pPr>
    </w:p>
    <w:p w:rsidR="00756835" w:rsidRDefault="00756835" w:rsidP="00C16C77">
      <w:pPr>
        <w:autoSpaceDE w:val="0"/>
        <w:autoSpaceDN w:val="0"/>
        <w:adjustRightInd w:val="0"/>
        <w:jc w:val="both"/>
        <w:rPr>
          <w:b/>
          <w:i/>
          <w:lang w:eastAsia="en-US"/>
        </w:rPr>
      </w:pPr>
    </w:p>
    <w:p w:rsidR="00756835" w:rsidRPr="009D15D5" w:rsidRDefault="00756835" w:rsidP="00C16C77">
      <w:pPr>
        <w:autoSpaceDE w:val="0"/>
        <w:autoSpaceDN w:val="0"/>
        <w:adjustRightInd w:val="0"/>
        <w:jc w:val="both"/>
        <w:rPr>
          <w:lang w:eastAsia="en-US"/>
        </w:rPr>
      </w:pPr>
      <w:r w:rsidRPr="009D15D5">
        <w:rPr>
          <w:b/>
          <w:i/>
          <w:lang w:eastAsia="en-US"/>
        </w:rPr>
        <w:t xml:space="preserve">Tablica 5. prikazuje da najznačajnije prihode Proračuna Općine </w:t>
      </w:r>
      <w:r>
        <w:rPr>
          <w:b/>
          <w:i/>
          <w:lang w:eastAsia="en-US"/>
        </w:rPr>
        <w:t>Vladislavci</w:t>
      </w:r>
      <w:r w:rsidRPr="009D15D5">
        <w:rPr>
          <w:lang w:eastAsia="en-US"/>
        </w:rPr>
        <w:t xml:space="preserve"> i u 2016. godini čine upravo prihodi poslovanja koji obuhvaćaju prihode od poreza, pomoći, prihode od imovine, prihode od upravnih pristojbi i po posebnim propisima te druge prihode poslovanja. Udio prihoda poslovanja u ukupnim prihodima i primicima iznosi </w:t>
      </w:r>
      <w:r>
        <w:rPr>
          <w:lang w:eastAsia="en-US"/>
        </w:rPr>
        <w:t xml:space="preserve">91,64 </w:t>
      </w:r>
      <w:r w:rsidRPr="009D15D5">
        <w:rPr>
          <w:lang w:eastAsia="en-US"/>
        </w:rPr>
        <w:t>%.</w:t>
      </w:r>
    </w:p>
    <w:p w:rsidR="00756835" w:rsidRDefault="00756835" w:rsidP="00C16C77">
      <w:pPr>
        <w:autoSpaceDE w:val="0"/>
        <w:autoSpaceDN w:val="0"/>
        <w:adjustRightInd w:val="0"/>
        <w:jc w:val="both"/>
        <w:rPr>
          <w:lang w:eastAsia="en-US"/>
        </w:rPr>
      </w:pPr>
    </w:p>
    <w:p w:rsidR="00756835" w:rsidRDefault="00756835" w:rsidP="00C16C77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Najveći udio prihoda poslovanja u 2016. godini čine prihod od pomoći unutar općeg proračuna i to u iznosu od 1.779.318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lang w:eastAsia="en-US"/>
        </w:rPr>
        <w:t xml:space="preserve">kn, te prihodi od poreza i to u iznosu od </w:t>
      </w:r>
      <w:r w:rsidRPr="00226C50">
        <w:rPr>
          <w:lang w:eastAsia="en-US"/>
        </w:rPr>
        <w:t>1</w:t>
      </w:r>
      <w:r>
        <w:rPr>
          <w:lang w:eastAsia="en-US"/>
        </w:rPr>
        <w:t>.080.845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lang w:eastAsia="en-US"/>
        </w:rPr>
        <w:t>kn.</w:t>
      </w:r>
    </w:p>
    <w:p w:rsidR="00756835" w:rsidRDefault="00756835" w:rsidP="00C16C77">
      <w:pPr>
        <w:autoSpaceDE w:val="0"/>
        <w:autoSpaceDN w:val="0"/>
        <w:adjustRightInd w:val="0"/>
        <w:jc w:val="both"/>
        <w:rPr>
          <w:lang w:eastAsia="en-US"/>
        </w:rPr>
      </w:pPr>
    </w:p>
    <w:p w:rsidR="00756835" w:rsidRPr="005E3718" w:rsidRDefault="00756835" w:rsidP="00C16C77">
      <w:pPr>
        <w:autoSpaceDE w:val="0"/>
        <w:autoSpaceDN w:val="0"/>
        <w:adjustRightInd w:val="0"/>
        <w:jc w:val="both"/>
        <w:rPr>
          <w:lang w:eastAsia="en-US"/>
        </w:rPr>
      </w:pPr>
      <w:r w:rsidRPr="005E3718">
        <w:rPr>
          <w:lang w:eastAsia="en-US"/>
        </w:rPr>
        <w:t xml:space="preserve">Najveći porast prihoda poslovanja u 2016. godini bilježi  kategorija prihoda </w:t>
      </w:r>
      <w:r>
        <w:rPr>
          <w:lang w:eastAsia="en-US"/>
        </w:rPr>
        <w:t>od poreza</w:t>
      </w:r>
      <w:r w:rsidRPr="005E3718">
        <w:rPr>
          <w:lang w:eastAsia="en-US"/>
        </w:rPr>
        <w:t xml:space="preserve"> koja je u odnosu na 2015. godinu porasla za </w:t>
      </w:r>
      <w:r>
        <w:rPr>
          <w:lang w:eastAsia="en-US"/>
        </w:rPr>
        <w:t>39,80</w:t>
      </w:r>
      <w:r w:rsidRPr="005E3718">
        <w:rPr>
          <w:lang w:eastAsia="en-US"/>
        </w:rPr>
        <w:t xml:space="preserve"> %</w:t>
      </w:r>
      <w:r>
        <w:rPr>
          <w:lang w:eastAsia="en-US"/>
        </w:rPr>
        <w:t xml:space="preserve"> (AOP 002)</w:t>
      </w:r>
      <w:r w:rsidRPr="005E3718">
        <w:rPr>
          <w:lang w:eastAsia="en-US"/>
        </w:rPr>
        <w:t xml:space="preserve">. </w:t>
      </w:r>
      <w:r>
        <w:rPr>
          <w:lang w:eastAsia="en-US"/>
        </w:rPr>
        <w:t>Porast prihoda od poreza bilježi skupina konta Porez na dohodak od nesamostalnog rada.</w:t>
      </w:r>
    </w:p>
    <w:p w:rsidR="00756835" w:rsidRPr="00D42A6C" w:rsidRDefault="00756835" w:rsidP="00D42A6C">
      <w:pPr>
        <w:autoSpaceDE w:val="0"/>
        <w:autoSpaceDN w:val="0"/>
        <w:adjustRightInd w:val="0"/>
        <w:jc w:val="both"/>
        <w:rPr>
          <w:lang w:eastAsia="en-US"/>
        </w:rPr>
      </w:pPr>
    </w:p>
    <w:p w:rsidR="00756835" w:rsidRDefault="00756835" w:rsidP="00D42A6C">
      <w:pPr>
        <w:pStyle w:val="BodyText"/>
        <w:rPr>
          <w:rFonts w:ascii="Times New Roman" w:hAnsi="Times New Roman" w:cs="Times New Roman"/>
          <w:b/>
          <w:i/>
        </w:rPr>
      </w:pPr>
    </w:p>
    <w:p w:rsidR="00756835" w:rsidRDefault="00756835" w:rsidP="00D42A6C">
      <w:pPr>
        <w:pStyle w:val="BodyText"/>
        <w:rPr>
          <w:rFonts w:ascii="Times New Roman" w:hAnsi="Times New Roman" w:cs="Times New Roman"/>
          <w:b/>
          <w:i/>
        </w:rPr>
      </w:pPr>
    </w:p>
    <w:p w:rsidR="00756835" w:rsidRDefault="00756835" w:rsidP="00D42A6C">
      <w:pPr>
        <w:pStyle w:val="BodyText"/>
        <w:rPr>
          <w:rFonts w:ascii="Times New Roman" w:hAnsi="Times New Roman" w:cs="Times New Roman"/>
          <w:b/>
          <w:i/>
        </w:rPr>
      </w:pPr>
    </w:p>
    <w:p w:rsidR="00756835" w:rsidRDefault="00756835" w:rsidP="00D42A6C">
      <w:pPr>
        <w:pStyle w:val="BodyText"/>
        <w:rPr>
          <w:rFonts w:ascii="Times New Roman" w:hAnsi="Times New Roman" w:cs="Times New Roman"/>
          <w:b/>
          <w:i/>
        </w:rPr>
      </w:pPr>
    </w:p>
    <w:p w:rsidR="00756835" w:rsidRDefault="00756835" w:rsidP="00D42A6C">
      <w:pPr>
        <w:pStyle w:val="BodyText"/>
        <w:rPr>
          <w:rFonts w:ascii="Times New Roman" w:hAnsi="Times New Roman" w:cs="Times New Roman"/>
          <w:b/>
          <w:i/>
        </w:rPr>
      </w:pPr>
    </w:p>
    <w:p w:rsidR="00756835" w:rsidRPr="005E3718" w:rsidRDefault="00756835" w:rsidP="00D42A6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Bilješke uz AOP 071</w:t>
      </w:r>
      <w:r w:rsidRPr="005E37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5E37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Prihodi od imovine bilježe pad za 16 % u odnosu na prethodno izvještajno razdoblje. Prihodi od imovine sačinjavaju prihodi od financijske imovine i prihodi od nefinancijske imovine</w:t>
      </w:r>
      <w:r w:rsidRPr="005E37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</w:p>
    <w:p w:rsidR="00756835" w:rsidRDefault="00756835" w:rsidP="00ED0764">
      <w:pPr>
        <w:jc w:val="both"/>
        <w:rPr>
          <w:lang w:eastAsia="en-US"/>
        </w:rPr>
      </w:pPr>
    </w:p>
    <w:p w:rsidR="00756835" w:rsidRDefault="00756835" w:rsidP="00ED0764">
      <w:pPr>
        <w:jc w:val="both"/>
      </w:pPr>
      <w:r w:rsidRPr="00FB0850">
        <w:rPr>
          <w:b/>
          <w:i/>
        </w:rPr>
        <w:t xml:space="preserve">Bilješke uz AOP </w:t>
      </w:r>
      <w:r>
        <w:rPr>
          <w:b/>
          <w:i/>
        </w:rPr>
        <w:t>72</w:t>
      </w:r>
      <w:r w:rsidRPr="00FB0850">
        <w:rPr>
          <w:b/>
          <w:i/>
        </w:rPr>
        <w:t xml:space="preserve"> </w:t>
      </w:r>
      <w:r w:rsidRPr="00FB0850">
        <w:t>– Priho</w:t>
      </w:r>
      <w:r>
        <w:t xml:space="preserve">di od </w:t>
      </w:r>
      <w:r w:rsidRPr="00FB0850">
        <w:t xml:space="preserve">financijske imovine u izvještajnom razdoblju manji su za </w:t>
      </w:r>
      <w:r>
        <w:t>81,20</w:t>
      </w:r>
      <w:r w:rsidRPr="00FB0850">
        <w:t xml:space="preserve"> % u odnosu na 2015. godinu. </w:t>
      </w:r>
      <w:r>
        <w:t>U navedenoj skupini konta knjiženi su uprihodovani prihodi od kamata i valja napomenuti da se radi o vrijednosno neznačajnoj skupini konta.</w:t>
      </w:r>
    </w:p>
    <w:p w:rsidR="00756835" w:rsidRDefault="00756835" w:rsidP="00ED0764">
      <w:pPr>
        <w:jc w:val="both"/>
      </w:pPr>
    </w:p>
    <w:p w:rsidR="00756835" w:rsidRDefault="00756835" w:rsidP="006B39D5">
      <w:pPr>
        <w:jc w:val="both"/>
      </w:pPr>
      <w:r w:rsidRPr="00FB0850">
        <w:rPr>
          <w:b/>
          <w:i/>
        </w:rPr>
        <w:t xml:space="preserve">Bilješke uz AOP 80 </w:t>
      </w:r>
      <w:r w:rsidRPr="00FB0850">
        <w:t xml:space="preserve">– Prihodi od nefinancijske imovine u izvještajnom razdoblju manji su za </w:t>
      </w:r>
      <w:r>
        <w:t xml:space="preserve">16,00 </w:t>
      </w:r>
      <w:r w:rsidRPr="00FB0850">
        <w:t xml:space="preserve"> % u odnosu na 2015. godinu. </w:t>
      </w:r>
      <w:r>
        <w:t>U navedenoj skupini konta knjiženi su uprihodovani prihodi od koncesija, zakupnine, naknade za zadržavanje nezakonito izgrađenih zgrada i slično.</w:t>
      </w:r>
    </w:p>
    <w:p w:rsidR="00756835" w:rsidRDefault="00756835" w:rsidP="00ED0764">
      <w:pPr>
        <w:jc w:val="both"/>
        <w:rPr>
          <w:b/>
          <w:i/>
          <w:color w:val="FF0000"/>
        </w:rPr>
      </w:pPr>
    </w:p>
    <w:p w:rsidR="00756835" w:rsidRDefault="00756835" w:rsidP="00ED0764">
      <w:pPr>
        <w:jc w:val="both"/>
      </w:pPr>
      <w:r w:rsidRPr="009F6312">
        <w:rPr>
          <w:b/>
          <w:i/>
        </w:rPr>
        <w:t xml:space="preserve">Bilješke uz AOP 102 – </w:t>
      </w:r>
      <w:r w:rsidRPr="009F6312">
        <w:t xml:space="preserve">Prihodi od upravnih i administrativnih pristojbi, pristojbi po posebnim propisima i naknada u izvještajnom razdoblju </w:t>
      </w:r>
      <w:r>
        <w:t>veći su za 29,20</w:t>
      </w:r>
      <w:r w:rsidRPr="009F6312">
        <w:t xml:space="preserve"> % u odnosu na 2015. godinu. Najveći </w:t>
      </w:r>
      <w:r>
        <w:t>porast</w:t>
      </w:r>
      <w:r w:rsidRPr="009F6312">
        <w:t xml:space="preserve"> unutar kategorije prihoda bilježe prihodi po osnovi </w:t>
      </w:r>
      <w:r>
        <w:t>komunalne naknade i komunalnog doprinosa</w:t>
      </w:r>
      <w:r w:rsidRPr="009F6312">
        <w:t xml:space="preserve"> koji u izvještajnom razdoblju </w:t>
      </w:r>
      <w:r>
        <w:t>uprihodovani za 58,00 % više u odnosu na prethodnu 2015. godinu.</w:t>
      </w:r>
    </w:p>
    <w:p w:rsidR="00756835" w:rsidRPr="009F6312" w:rsidRDefault="00756835" w:rsidP="00ED0764">
      <w:pPr>
        <w:jc w:val="both"/>
      </w:pPr>
    </w:p>
    <w:p w:rsidR="00756835" w:rsidRPr="009F6312" w:rsidRDefault="00756835" w:rsidP="00F466DD">
      <w:pPr>
        <w:jc w:val="both"/>
      </w:pPr>
      <w:r>
        <w:rPr>
          <w:b/>
          <w:i/>
        </w:rPr>
        <w:t>Bilješke uz AOP 134</w:t>
      </w:r>
      <w:r w:rsidRPr="009F6312">
        <w:rPr>
          <w:b/>
          <w:i/>
        </w:rPr>
        <w:t xml:space="preserve"> </w:t>
      </w:r>
      <w:r w:rsidRPr="009F6312">
        <w:t xml:space="preserve">– </w:t>
      </w:r>
      <w:r>
        <w:t>Prihodi od kazni, upravne mjere i ostali prihodi uprihodovani su za 57,40 % manje u odnosu na 2015. godinu. U 2016. godini veći iznos gore navedenih prihoda odnosi se na prihode vezane za financiranje programa javnih radova.</w:t>
      </w:r>
    </w:p>
    <w:p w:rsidR="00756835" w:rsidRDefault="00756835" w:rsidP="00F466DD">
      <w:pPr>
        <w:jc w:val="both"/>
      </w:pPr>
    </w:p>
    <w:p w:rsidR="00756835" w:rsidRDefault="00756835" w:rsidP="008D1D63">
      <w:pPr>
        <w:ind w:left="-105"/>
        <w:jc w:val="both"/>
        <w:rPr>
          <w:b/>
          <w:bCs/>
        </w:rPr>
      </w:pPr>
    </w:p>
    <w:p w:rsidR="00756835" w:rsidRPr="00C31A95" w:rsidRDefault="00756835" w:rsidP="00EE55EB">
      <w:pPr>
        <w:jc w:val="both"/>
        <w:rPr>
          <w:b/>
          <w:bCs/>
        </w:rPr>
      </w:pPr>
      <w:r w:rsidRPr="00C31A95">
        <w:rPr>
          <w:b/>
          <w:bCs/>
        </w:rPr>
        <w:t>Tablica 6: Ostvareni rashodi Općine Vladislavci u 2015. i 2016. godini</w:t>
      </w:r>
    </w:p>
    <w:p w:rsidR="00756835" w:rsidRDefault="00756835" w:rsidP="00C16C77">
      <w:pPr>
        <w:jc w:val="both"/>
        <w:rPr>
          <w:lang w:eastAsia="en-US"/>
        </w:rPr>
      </w:pPr>
    </w:p>
    <w:tbl>
      <w:tblPr>
        <w:tblW w:w="9629" w:type="dxa"/>
        <w:jc w:val="center"/>
        <w:tblLook w:val="00A0"/>
      </w:tblPr>
      <w:tblGrid>
        <w:gridCol w:w="840"/>
        <w:gridCol w:w="4404"/>
        <w:gridCol w:w="1598"/>
        <w:gridCol w:w="1745"/>
        <w:gridCol w:w="1042"/>
      </w:tblGrid>
      <w:tr w:rsidR="00756835" w:rsidRPr="008D1D63" w:rsidTr="00C31A95">
        <w:trPr>
          <w:trHeight w:val="185"/>
          <w:jc w:val="center"/>
        </w:trPr>
        <w:tc>
          <w:tcPr>
            <w:tcW w:w="840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8D1D63" w:rsidRDefault="00756835" w:rsidP="008D1D6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D1D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Račun</w:t>
            </w:r>
          </w:p>
        </w:tc>
        <w:tc>
          <w:tcPr>
            <w:tcW w:w="4404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8D1D63" w:rsidRDefault="00756835" w:rsidP="008D1D6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D1D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159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vAlign w:val="center"/>
          </w:tcPr>
          <w:p w:rsidR="00756835" w:rsidRPr="008D1D63" w:rsidRDefault="00756835" w:rsidP="008D1D6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Ostvarenje 2015</w:t>
            </w:r>
            <w:r w:rsidRPr="008D1D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4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vAlign w:val="center"/>
          </w:tcPr>
          <w:p w:rsidR="00756835" w:rsidRPr="008D1D63" w:rsidRDefault="00756835" w:rsidP="008D1D6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Ostvarenje 2016</w:t>
            </w:r>
            <w:r w:rsidRPr="008D1D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04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8D1D63" w:rsidRDefault="00756835" w:rsidP="008D1D6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D1D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Indeks</w:t>
            </w:r>
          </w:p>
        </w:tc>
      </w:tr>
      <w:tr w:rsidR="00756835" w:rsidRPr="008D1D63" w:rsidTr="00C31A95">
        <w:trPr>
          <w:trHeight w:val="193"/>
          <w:jc w:val="center"/>
        </w:trPr>
        <w:tc>
          <w:tcPr>
            <w:tcW w:w="840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8D1D63" w:rsidRDefault="00756835" w:rsidP="008D1D6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8D1D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4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8D1D63" w:rsidRDefault="00756835" w:rsidP="008D1D63">
            <w:pPr>
              <w:rPr>
                <w:rFonts w:ascii="Calibri" w:hAnsi="Calibri"/>
                <w:b/>
                <w:bCs/>
                <w:color w:val="000000"/>
              </w:rPr>
            </w:pPr>
            <w:r w:rsidRPr="008D1D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59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8D1D63" w:rsidRDefault="00756835" w:rsidP="008D1D6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3.570.684</w:t>
            </w:r>
          </w:p>
        </w:tc>
        <w:tc>
          <w:tcPr>
            <w:tcW w:w="174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8D1D63" w:rsidRDefault="00756835" w:rsidP="008D1D6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2.919.608</w:t>
            </w:r>
          </w:p>
        </w:tc>
        <w:tc>
          <w:tcPr>
            <w:tcW w:w="104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8D1D63" w:rsidRDefault="00756835" w:rsidP="008D1D6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81,8%</w:t>
            </w:r>
          </w:p>
        </w:tc>
      </w:tr>
      <w:tr w:rsidR="00756835" w:rsidRPr="008D1D63" w:rsidTr="00C31A95">
        <w:trPr>
          <w:trHeight w:val="193"/>
          <w:jc w:val="center"/>
        </w:trPr>
        <w:tc>
          <w:tcPr>
            <w:tcW w:w="840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8D1D63" w:rsidRDefault="00756835" w:rsidP="008D1D63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8D1D63">
              <w:rPr>
                <w:rFonts w:ascii="Calibri" w:hAnsi="Calibri"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4404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8D1D63" w:rsidRDefault="00756835" w:rsidP="008D1D63">
            <w:pPr>
              <w:rPr>
                <w:rFonts w:ascii="Calibri" w:hAnsi="Calibri"/>
                <w:color w:val="000000"/>
              </w:rPr>
            </w:pPr>
            <w:r w:rsidRPr="008D1D63">
              <w:rPr>
                <w:rFonts w:ascii="Calibri" w:hAnsi="Calibri"/>
                <w:color w:val="000000"/>
                <w:sz w:val="22"/>
                <w:szCs w:val="22"/>
              </w:rPr>
              <w:t>Rashodi za zaposlene</w:t>
            </w:r>
          </w:p>
        </w:tc>
        <w:tc>
          <w:tcPr>
            <w:tcW w:w="159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8D1D63" w:rsidRDefault="00756835" w:rsidP="008D1D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1.419.246</w:t>
            </w:r>
          </w:p>
        </w:tc>
        <w:tc>
          <w:tcPr>
            <w:tcW w:w="174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8D1D63" w:rsidRDefault="00756835" w:rsidP="008D1D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867.208</w:t>
            </w:r>
          </w:p>
        </w:tc>
        <w:tc>
          <w:tcPr>
            <w:tcW w:w="104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8D1D63" w:rsidRDefault="00756835" w:rsidP="008D1D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61,1%</w:t>
            </w:r>
          </w:p>
        </w:tc>
      </w:tr>
      <w:tr w:rsidR="00756835" w:rsidRPr="008D1D63" w:rsidTr="00C31A95">
        <w:trPr>
          <w:trHeight w:val="193"/>
          <w:jc w:val="center"/>
        </w:trPr>
        <w:tc>
          <w:tcPr>
            <w:tcW w:w="840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8D1D63" w:rsidRDefault="00756835" w:rsidP="008D1D63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8D1D63">
              <w:rPr>
                <w:rFonts w:ascii="Calibri" w:hAnsi="Calibri"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4404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8D1D63" w:rsidRDefault="00756835" w:rsidP="008D1D63">
            <w:pPr>
              <w:rPr>
                <w:rFonts w:ascii="Calibri" w:hAnsi="Calibri"/>
                <w:color w:val="000000"/>
              </w:rPr>
            </w:pPr>
            <w:r w:rsidRPr="008D1D63">
              <w:rPr>
                <w:rFonts w:ascii="Calibri" w:hAnsi="Calibri"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59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8D1D63" w:rsidRDefault="00756835" w:rsidP="008D1D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1.336.267</w:t>
            </w:r>
          </w:p>
        </w:tc>
        <w:tc>
          <w:tcPr>
            <w:tcW w:w="174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8D1D63" w:rsidRDefault="00756835" w:rsidP="008D1D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1.383.455</w:t>
            </w:r>
          </w:p>
        </w:tc>
        <w:tc>
          <w:tcPr>
            <w:tcW w:w="104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8D1D63" w:rsidRDefault="00756835" w:rsidP="008D1D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103,5%</w:t>
            </w:r>
          </w:p>
        </w:tc>
      </w:tr>
      <w:tr w:rsidR="00756835" w:rsidRPr="008D1D63" w:rsidTr="00C31A95">
        <w:trPr>
          <w:trHeight w:val="193"/>
          <w:jc w:val="center"/>
        </w:trPr>
        <w:tc>
          <w:tcPr>
            <w:tcW w:w="840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8D1D63" w:rsidRDefault="00756835" w:rsidP="008D1D63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8D1D63">
              <w:rPr>
                <w:rFonts w:ascii="Calibri" w:hAnsi="Calibri"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4404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8D1D63" w:rsidRDefault="00756835" w:rsidP="008D1D63">
            <w:pPr>
              <w:rPr>
                <w:rFonts w:ascii="Calibri" w:hAnsi="Calibri"/>
                <w:color w:val="000000"/>
              </w:rPr>
            </w:pPr>
            <w:r w:rsidRPr="008D1D63">
              <w:rPr>
                <w:rFonts w:ascii="Calibri" w:hAnsi="Calibri"/>
                <w:color w:val="000000"/>
                <w:sz w:val="22"/>
                <w:szCs w:val="22"/>
              </w:rPr>
              <w:t>Financijski rashodi</w:t>
            </w:r>
          </w:p>
        </w:tc>
        <w:tc>
          <w:tcPr>
            <w:tcW w:w="159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8D1D63" w:rsidRDefault="00756835" w:rsidP="008D1D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15.460</w:t>
            </w:r>
          </w:p>
        </w:tc>
        <w:tc>
          <w:tcPr>
            <w:tcW w:w="174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8D1D63" w:rsidRDefault="00756835" w:rsidP="008D1D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15.626</w:t>
            </w:r>
          </w:p>
        </w:tc>
        <w:tc>
          <w:tcPr>
            <w:tcW w:w="104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8D1D63" w:rsidRDefault="00756835" w:rsidP="008D1D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101,1%</w:t>
            </w:r>
          </w:p>
        </w:tc>
      </w:tr>
      <w:tr w:rsidR="00756835" w:rsidRPr="008D1D63" w:rsidTr="00C31A95">
        <w:trPr>
          <w:trHeight w:val="193"/>
          <w:jc w:val="center"/>
        </w:trPr>
        <w:tc>
          <w:tcPr>
            <w:tcW w:w="840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8D1D63" w:rsidRDefault="00756835" w:rsidP="008D1D63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8D1D63">
              <w:rPr>
                <w:rFonts w:ascii="Calibri" w:hAnsi="Calibri"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4404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8D1D63" w:rsidRDefault="00756835" w:rsidP="008D1D63">
            <w:pPr>
              <w:rPr>
                <w:rFonts w:ascii="Calibri" w:hAnsi="Calibri"/>
                <w:color w:val="000000"/>
              </w:rPr>
            </w:pPr>
            <w:r w:rsidRPr="008D1D63">
              <w:rPr>
                <w:rFonts w:ascii="Calibri" w:hAnsi="Calibri"/>
                <w:color w:val="000000"/>
                <w:sz w:val="22"/>
                <w:szCs w:val="22"/>
              </w:rPr>
              <w:t>Naknade građanima i kućanstvima</w:t>
            </w:r>
          </w:p>
        </w:tc>
        <w:tc>
          <w:tcPr>
            <w:tcW w:w="159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8D1D63" w:rsidRDefault="00756835" w:rsidP="008D1D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340.679</w:t>
            </w:r>
          </w:p>
        </w:tc>
        <w:tc>
          <w:tcPr>
            <w:tcW w:w="174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8D1D63" w:rsidRDefault="00756835" w:rsidP="008D1D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299.324</w:t>
            </w:r>
          </w:p>
        </w:tc>
        <w:tc>
          <w:tcPr>
            <w:tcW w:w="104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8D1D63" w:rsidRDefault="00756835" w:rsidP="008D1D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87,9%</w:t>
            </w:r>
          </w:p>
        </w:tc>
      </w:tr>
      <w:tr w:rsidR="00756835" w:rsidRPr="008D1D63" w:rsidTr="00C31A95">
        <w:trPr>
          <w:trHeight w:val="193"/>
          <w:jc w:val="center"/>
        </w:trPr>
        <w:tc>
          <w:tcPr>
            <w:tcW w:w="840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8D1D63" w:rsidRDefault="00756835" w:rsidP="008D1D63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8D1D63">
              <w:rPr>
                <w:rFonts w:ascii="Calibri" w:hAnsi="Calibri"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4404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8D1D63" w:rsidRDefault="00756835" w:rsidP="008D1D63">
            <w:pPr>
              <w:rPr>
                <w:rFonts w:ascii="Calibri" w:hAnsi="Calibri"/>
                <w:color w:val="000000"/>
              </w:rPr>
            </w:pPr>
            <w:r w:rsidRPr="008D1D63">
              <w:rPr>
                <w:rFonts w:ascii="Calibri" w:hAnsi="Calibri"/>
                <w:color w:val="000000"/>
                <w:sz w:val="22"/>
                <w:szCs w:val="22"/>
              </w:rPr>
              <w:t>Ostali rashodi</w:t>
            </w:r>
          </w:p>
        </w:tc>
        <w:tc>
          <w:tcPr>
            <w:tcW w:w="159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8D1D63" w:rsidRDefault="00756835" w:rsidP="008D1D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459.032</w:t>
            </w:r>
          </w:p>
        </w:tc>
        <w:tc>
          <w:tcPr>
            <w:tcW w:w="174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8D1D63" w:rsidRDefault="00756835" w:rsidP="008D1D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353.995</w:t>
            </w:r>
          </w:p>
        </w:tc>
        <w:tc>
          <w:tcPr>
            <w:tcW w:w="104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8D1D63" w:rsidRDefault="00756835" w:rsidP="008D1D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77,1%</w:t>
            </w:r>
          </w:p>
        </w:tc>
      </w:tr>
      <w:tr w:rsidR="00756835" w:rsidRPr="008D1D63" w:rsidTr="00C31A95">
        <w:trPr>
          <w:trHeight w:val="193"/>
          <w:jc w:val="center"/>
        </w:trPr>
        <w:tc>
          <w:tcPr>
            <w:tcW w:w="840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8D1D63" w:rsidRDefault="00756835" w:rsidP="008D1D6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8D1D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4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8D1D63" w:rsidRDefault="00756835" w:rsidP="008D1D63">
            <w:pPr>
              <w:rPr>
                <w:rFonts w:ascii="Calibri" w:hAnsi="Calibri"/>
                <w:b/>
                <w:bCs/>
                <w:color w:val="000000"/>
              </w:rPr>
            </w:pPr>
            <w:r w:rsidRPr="008D1D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Rashodi za nabavu nefinancijske imovine</w:t>
            </w:r>
          </w:p>
        </w:tc>
        <w:tc>
          <w:tcPr>
            <w:tcW w:w="159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8D1D63" w:rsidRDefault="00756835" w:rsidP="008D1D6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2.442.692</w:t>
            </w:r>
          </w:p>
        </w:tc>
        <w:tc>
          <w:tcPr>
            <w:tcW w:w="174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8D1D63" w:rsidRDefault="00756835" w:rsidP="008D1D6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1.529.670</w:t>
            </w:r>
          </w:p>
        </w:tc>
        <w:tc>
          <w:tcPr>
            <w:tcW w:w="104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8D1D63" w:rsidRDefault="00756835" w:rsidP="000F1F4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62,6%</w:t>
            </w:r>
          </w:p>
        </w:tc>
      </w:tr>
      <w:tr w:rsidR="00756835" w:rsidRPr="00F84EE2" w:rsidTr="00C31A95">
        <w:trPr>
          <w:trHeight w:val="193"/>
          <w:jc w:val="center"/>
        </w:trPr>
        <w:tc>
          <w:tcPr>
            <w:tcW w:w="840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F84EE2" w:rsidRDefault="00756835" w:rsidP="008D1D63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F84EE2">
              <w:rPr>
                <w:rFonts w:ascii="Calibri" w:hAnsi="Calibri"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4404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F84EE2" w:rsidRDefault="00756835" w:rsidP="008D1D63">
            <w:pPr>
              <w:rPr>
                <w:rFonts w:ascii="Calibri" w:hAnsi="Calibri"/>
                <w:bCs/>
                <w:color w:val="000000"/>
              </w:rPr>
            </w:pPr>
            <w:r w:rsidRPr="00F84EE2">
              <w:rPr>
                <w:rFonts w:ascii="Calibri" w:hAnsi="Calibri"/>
                <w:color w:val="000000"/>
                <w:sz w:val="22"/>
                <w:szCs w:val="22"/>
              </w:rPr>
              <w:t>Rashodi za nabavu neproizvedene dugotrajne imovine</w:t>
            </w:r>
          </w:p>
        </w:tc>
        <w:tc>
          <w:tcPr>
            <w:tcW w:w="159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F84EE2" w:rsidRDefault="00756835" w:rsidP="008D1D63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F84EE2">
              <w:rPr>
                <w:rFonts w:ascii="Calibri" w:hAnsi="Calibri"/>
                <w:bCs/>
                <w:color w:val="000000"/>
                <w:sz w:val="22"/>
                <w:szCs w:val="22"/>
              </w:rPr>
              <w:t>16.600</w:t>
            </w:r>
          </w:p>
        </w:tc>
        <w:tc>
          <w:tcPr>
            <w:tcW w:w="174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F84EE2" w:rsidRDefault="00756835" w:rsidP="00F84EE2">
            <w:pPr>
              <w:jc w:val="right"/>
              <w:rPr>
                <w:rFonts w:ascii="Calibri" w:hAnsi="Calibri"/>
                <w:bCs/>
              </w:rPr>
            </w:pPr>
            <w:r w:rsidRPr="00F84EE2">
              <w:rPr>
                <w:rFonts w:ascii="Calibri" w:hAnsi="Calibri"/>
                <w:bCs/>
                <w:sz w:val="22"/>
                <w:szCs w:val="22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F84EE2" w:rsidRDefault="00756835" w:rsidP="000F1F4E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F84EE2">
              <w:rPr>
                <w:rFonts w:ascii="Calibri" w:hAnsi="Calibri"/>
                <w:bCs/>
                <w:color w:val="000000"/>
                <w:sz w:val="22"/>
                <w:szCs w:val="22"/>
              </w:rPr>
              <w:t>0,00%</w:t>
            </w:r>
          </w:p>
        </w:tc>
      </w:tr>
      <w:tr w:rsidR="00756835" w:rsidRPr="008D1D63" w:rsidTr="00C31A95">
        <w:trPr>
          <w:trHeight w:val="193"/>
          <w:jc w:val="center"/>
        </w:trPr>
        <w:tc>
          <w:tcPr>
            <w:tcW w:w="840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8D1D63" w:rsidRDefault="00756835" w:rsidP="008D1D63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8D1D63">
              <w:rPr>
                <w:rFonts w:ascii="Calibri" w:hAnsi="Calibri"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4404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8D1D63" w:rsidRDefault="00756835" w:rsidP="008D1D63">
            <w:pPr>
              <w:rPr>
                <w:rFonts w:ascii="Calibri" w:hAnsi="Calibri"/>
                <w:color w:val="000000"/>
              </w:rPr>
            </w:pPr>
            <w:r w:rsidRPr="008D1D63">
              <w:rPr>
                <w:rFonts w:ascii="Calibri" w:hAnsi="Calibri"/>
                <w:color w:val="000000"/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159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8D1D63" w:rsidRDefault="00756835" w:rsidP="008D1D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2.426.092</w:t>
            </w:r>
          </w:p>
        </w:tc>
        <w:tc>
          <w:tcPr>
            <w:tcW w:w="174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8D1D63" w:rsidRDefault="00756835" w:rsidP="00A24B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1.529.670</w:t>
            </w:r>
          </w:p>
        </w:tc>
        <w:tc>
          <w:tcPr>
            <w:tcW w:w="104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8D1D63" w:rsidRDefault="00756835" w:rsidP="000F1F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63,1%</w:t>
            </w:r>
          </w:p>
        </w:tc>
      </w:tr>
      <w:tr w:rsidR="00756835" w:rsidRPr="008D1D63" w:rsidTr="00C31A95">
        <w:trPr>
          <w:trHeight w:val="654"/>
          <w:jc w:val="center"/>
        </w:trPr>
        <w:tc>
          <w:tcPr>
            <w:tcW w:w="840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8D1D63" w:rsidRDefault="00756835" w:rsidP="008D1D63">
            <w:pPr>
              <w:rPr>
                <w:rFonts w:ascii="Calibri" w:hAnsi="Calibri"/>
                <w:b/>
                <w:bCs/>
                <w:color w:val="000000"/>
              </w:rPr>
            </w:pPr>
            <w:r w:rsidRPr="008D1D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4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8D1D63" w:rsidRDefault="00756835" w:rsidP="008D1D63">
            <w:pPr>
              <w:rPr>
                <w:rFonts w:ascii="Calibri" w:hAnsi="Calibri"/>
                <w:b/>
                <w:bCs/>
                <w:color w:val="000000"/>
              </w:rPr>
            </w:pPr>
            <w:r w:rsidRPr="008D1D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598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8D1D63" w:rsidRDefault="00756835" w:rsidP="008D1D6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6.013.376</w:t>
            </w:r>
          </w:p>
        </w:tc>
        <w:tc>
          <w:tcPr>
            <w:tcW w:w="1745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8D1D63" w:rsidRDefault="00756835" w:rsidP="008D1D6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4.449.278</w:t>
            </w:r>
          </w:p>
        </w:tc>
        <w:tc>
          <w:tcPr>
            <w:tcW w:w="1042" w:type="dxa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noWrap/>
            <w:vAlign w:val="center"/>
          </w:tcPr>
          <w:p w:rsidR="00756835" w:rsidRPr="008D1D63" w:rsidRDefault="00756835" w:rsidP="000F1F4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73,99%</w:t>
            </w:r>
          </w:p>
        </w:tc>
      </w:tr>
    </w:tbl>
    <w:p w:rsidR="00756835" w:rsidRDefault="00756835" w:rsidP="00207ED6">
      <w:pPr>
        <w:autoSpaceDE w:val="0"/>
        <w:autoSpaceDN w:val="0"/>
        <w:adjustRightInd w:val="0"/>
        <w:jc w:val="both"/>
        <w:rPr>
          <w:lang w:eastAsia="en-US"/>
        </w:rPr>
      </w:pPr>
    </w:p>
    <w:p w:rsidR="00756835" w:rsidRPr="00C31A95" w:rsidRDefault="00756835" w:rsidP="00207ED6">
      <w:pPr>
        <w:autoSpaceDE w:val="0"/>
        <w:autoSpaceDN w:val="0"/>
        <w:adjustRightInd w:val="0"/>
        <w:jc w:val="both"/>
        <w:rPr>
          <w:lang w:eastAsia="en-US"/>
        </w:rPr>
      </w:pPr>
    </w:p>
    <w:p w:rsidR="00756835" w:rsidRPr="00C31A95" w:rsidRDefault="00756835" w:rsidP="00207ED6">
      <w:pPr>
        <w:autoSpaceDE w:val="0"/>
        <w:autoSpaceDN w:val="0"/>
        <w:adjustRightInd w:val="0"/>
        <w:jc w:val="both"/>
        <w:rPr>
          <w:lang w:eastAsia="en-US"/>
        </w:rPr>
      </w:pPr>
      <w:r w:rsidRPr="00C31A95">
        <w:rPr>
          <w:lang w:eastAsia="en-US"/>
        </w:rPr>
        <w:t>Vrijednosno najznačajniji promjene u kategoriji rashoda u 2016. godini u odnosu na 2015. godinu nastale su na sljedećim kategorijama:</w:t>
      </w:r>
    </w:p>
    <w:p w:rsidR="00756835" w:rsidRPr="00D62CE3" w:rsidRDefault="00756835" w:rsidP="00F466DD">
      <w:pPr>
        <w:autoSpaceDE w:val="0"/>
        <w:autoSpaceDN w:val="0"/>
        <w:adjustRightInd w:val="0"/>
        <w:jc w:val="both"/>
        <w:rPr>
          <w:b/>
          <w:i/>
          <w:color w:val="FF0000"/>
          <w:lang w:eastAsia="en-US"/>
        </w:rPr>
      </w:pPr>
    </w:p>
    <w:p w:rsidR="00756835" w:rsidRDefault="00756835" w:rsidP="00BA7E07">
      <w:pPr>
        <w:autoSpaceDE w:val="0"/>
        <w:autoSpaceDN w:val="0"/>
        <w:adjustRightInd w:val="0"/>
        <w:jc w:val="both"/>
        <w:rPr>
          <w:b/>
          <w:i/>
          <w:color w:val="FF0000"/>
          <w:lang w:eastAsia="en-US"/>
        </w:rPr>
      </w:pPr>
    </w:p>
    <w:p w:rsidR="00756835" w:rsidRDefault="00756835" w:rsidP="00BA7E07">
      <w:pPr>
        <w:autoSpaceDE w:val="0"/>
        <w:autoSpaceDN w:val="0"/>
        <w:adjustRightInd w:val="0"/>
        <w:jc w:val="both"/>
        <w:rPr>
          <w:b/>
          <w:i/>
          <w:color w:val="FF0000"/>
          <w:lang w:eastAsia="en-US"/>
        </w:rPr>
      </w:pPr>
    </w:p>
    <w:p w:rsidR="00756835" w:rsidRPr="00C31A95" w:rsidRDefault="00756835" w:rsidP="00BA7E07">
      <w:pPr>
        <w:autoSpaceDE w:val="0"/>
        <w:autoSpaceDN w:val="0"/>
        <w:adjustRightInd w:val="0"/>
        <w:jc w:val="both"/>
        <w:rPr>
          <w:lang w:eastAsia="en-US"/>
        </w:rPr>
      </w:pPr>
      <w:r w:rsidRPr="00C31A95">
        <w:rPr>
          <w:b/>
          <w:i/>
          <w:lang w:eastAsia="en-US"/>
        </w:rPr>
        <w:t xml:space="preserve">Bilješke uz AOP 148 – </w:t>
      </w:r>
      <w:r w:rsidRPr="00C31A95">
        <w:rPr>
          <w:lang w:eastAsia="en-US"/>
        </w:rPr>
        <w:t>Rashodi za zaposlene smanjeni su u izvještajnom razdoblju za 38,90 % u odnosu na prethodnu godinu. Razlog takvog smanjenja se prvenstveno odnosi na zapošljavanje osoba putem programa javnih radova, te odlaska zaposlenika na trudnički dopust.</w:t>
      </w:r>
    </w:p>
    <w:p w:rsidR="00756835" w:rsidRDefault="00756835" w:rsidP="00BA7E07">
      <w:pPr>
        <w:autoSpaceDE w:val="0"/>
        <w:autoSpaceDN w:val="0"/>
        <w:adjustRightInd w:val="0"/>
        <w:jc w:val="both"/>
        <w:rPr>
          <w:color w:val="FF0000"/>
          <w:lang w:eastAsia="en-US"/>
        </w:rPr>
      </w:pPr>
    </w:p>
    <w:p w:rsidR="00756835" w:rsidRPr="00E85DB1" w:rsidRDefault="00756835" w:rsidP="002A15FB">
      <w:pPr>
        <w:autoSpaceDE w:val="0"/>
        <w:autoSpaceDN w:val="0"/>
        <w:adjustRightInd w:val="0"/>
        <w:jc w:val="both"/>
        <w:rPr>
          <w:color w:val="FF0000"/>
          <w:lang w:eastAsia="en-US"/>
        </w:rPr>
      </w:pPr>
      <w:r w:rsidRPr="00162829">
        <w:rPr>
          <w:b/>
          <w:i/>
          <w:lang w:eastAsia="en-US"/>
        </w:rPr>
        <w:t xml:space="preserve">Bilješke uz AOP </w:t>
      </w:r>
      <w:r>
        <w:rPr>
          <w:b/>
          <w:i/>
          <w:lang w:eastAsia="en-US"/>
        </w:rPr>
        <w:t>160</w:t>
      </w:r>
      <w:r w:rsidRPr="00162829">
        <w:rPr>
          <w:b/>
          <w:i/>
          <w:lang w:eastAsia="en-US"/>
        </w:rPr>
        <w:t xml:space="preserve"> – </w:t>
      </w:r>
      <w:r>
        <w:rPr>
          <w:lang w:eastAsia="en-US"/>
        </w:rPr>
        <w:t>Materijalni rashodi</w:t>
      </w:r>
      <w:r w:rsidRPr="00162829">
        <w:rPr>
          <w:lang w:eastAsia="en-US"/>
        </w:rPr>
        <w:t xml:space="preserve"> povećani su u izvještajnom razdoblju za </w:t>
      </w:r>
      <w:r>
        <w:rPr>
          <w:lang w:eastAsia="en-US"/>
        </w:rPr>
        <w:t>3,50</w:t>
      </w:r>
      <w:r w:rsidRPr="00162829">
        <w:rPr>
          <w:lang w:eastAsia="en-US"/>
        </w:rPr>
        <w:t xml:space="preserve"> % u odnosu na prethodnu godinu. </w:t>
      </w:r>
      <w:r>
        <w:rPr>
          <w:lang w:eastAsia="en-US"/>
        </w:rPr>
        <w:t>Iz navedenog je moguće zaključiti da nije bilo većih odstupanja unutar skupine konta 32.</w:t>
      </w:r>
    </w:p>
    <w:p w:rsidR="00756835" w:rsidRDefault="00756835" w:rsidP="00BA7E07">
      <w:pPr>
        <w:autoSpaceDE w:val="0"/>
        <w:autoSpaceDN w:val="0"/>
        <w:adjustRightInd w:val="0"/>
        <w:jc w:val="both"/>
        <w:rPr>
          <w:color w:val="FF0000"/>
          <w:lang w:eastAsia="en-US"/>
        </w:rPr>
      </w:pPr>
    </w:p>
    <w:p w:rsidR="00756835" w:rsidRDefault="00756835" w:rsidP="00E85DB1">
      <w:pPr>
        <w:autoSpaceDE w:val="0"/>
        <w:autoSpaceDN w:val="0"/>
        <w:adjustRightInd w:val="0"/>
        <w:jc w:val="both"/>
        <w:rPr>
          <w:lang w:eastAsia="en-US"/>
        </w:rPr>
      </w:pPr>
      <w:r w:rsidRPr="00E85DB1">
        <w:rPr>
          <w:b/>
          <w:i/>
          <w:lang w:eastAsia="en-US"/>
        </w:rPr>
        <w:t>Bilješke uz AOP 334</w:t>
      </w:r>
      <w:r w:rsidRPr="00E85DB1">
        <w:rPr>
          <w:lang w:eastAsia="en-US"/>
        </w:rPr>
        <w:t xml:space="preserve"> - Vrijednosno najznačajnije promjene u 2016. godini u odnosu na 2015. godinu nastale su u okviru konta razreda četiri Rashodi za nabavu nefinancijske imovine. </w:t>
      </w:r>
      <w:r>
        <w:rPr>
          <w:lang w:eastAsia="en-US"/>
        </w:rPr>
        <w:t xml:space="preserve">Navedeni su rashodi smanjeni sa realiziranih 2.442.692 kn u 2015. godini na 1.529.670 kn </w:t>
      </w:r>
      <w:r w:rsidRPr="00E85DB1">
        <w:rPr>
          <w:lang w:eastAsia="en-US"/>
        </w:rPr>
        <w:t xml:space="preserve">realiziranih u 2016. godini. </w:t>
      </w:r>
      <w:r>
        <w:rPr>
          <w:lang w:eastAsia="en-US"/>
        </w:rPr>
        <w:t>Navedeno prikazuje smanjenje ulaganja u nabavu dugotrajne imovinu za 37,40 % u odnosu na 2015. godinu.</w:t>
      </w:r>
    </w:p>
    <w:p w:rsidR="00756835" w:rsidRDefault="00756835" w:rsidP="00E85DB1">
      <w:pPr>
        <w:autoSpaceDE w:val="0"/>
        <w:autoSpaceDN w:val="0"/>
        <w:adjustRightInd w:val="0"/>
        <w:jc w:val="both"/>
        <w:rPr>
          <w:lang w:eastAsia="en-US"/>
        </w:rPr>
      </w:pPr>
    </w:p>
    <w:p w:rsidR="00756835" w:rsidRDefault="00756835" w:rsidP="00BA7E07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Najveće odstupanje u okviru nabave dugotrajne imovne nastalo je u okviru konta 412 Poslovni objekti. Na toj stavci u 2015. godini utrošeno je ukupno 1.181.287 kn. Najveća se ulaganja odnose na povećanje energetske učinkovitosti društvenog doma u Hrastinu, te adaptacija i obnova „stare škole“ u energetski učinkovitu poslovno javnu građevinu čiji će s</w:t>
      </w:r>
      <w:r w:rsidRPr="00C31A95">
        <w:rPr>
          <w:lang w:eastAsia="en-US"/>
        </w:rPr>
        <w:t>astavni dio biti poduzetničko-edukativni i kulturno upravni centar kao i knjižnica, čitaonica,</w:t>
      </w:r>
      <w:r>
        <w:rPr>
          <w:lang w:eastAsia="en-US"/>
        </w:rPr>
        <w:t xml:space="preserve"> </w:t>
      </w:r>
      <w:r w:rsidRPr="00C31A95">
        <w:rPr>
          <w:lang w:eastAsia="en-US"/>
        </w:rPr>
        <w:t>igraonica i prateći sadržaji</w:t>
      </w:r>
      <w:r>
        <w:rPr>
          <w:lang w:eastAsia="en-US"/>
        </w:rPr>
        <w:t xml:space="preserve">. </w:t>
      </w:r>
    </w:p>
    <w:p w:rsidR="00756835" w:rsidRDefault="00756835" w:rsidP="00BA7E07">
      <w:pPr>
        <w:autoSpaceDE w:val="0"/>
        <w:autoSpaceDN w:val="0"/>
        <w:adjustRightInd w:val="0"/>
        <w:jc w:val="both"/>
        <w:rPr>
          <w:lang w:eastAsia="en-US"/>
        </w:rPr>
      </w:pPr>
    </w:p>
    <w:p w:rsidR="00756835" w:rsidRPr="00E85DB1" w:rsidRDefault="00756835" w:rsidP="00BA7E07">
      <w:pPr>
        <w:autoSpaceDE w:val="0"/>
        <w:autoSpaceDN w:val="0"/>
        <w:adjustRightInd w:val="0"/>
        <w:jc w:val="both"/>
        <w:rPr>
          <w:b/>
          <w:i/>
          <w:lang w:eastAsia="en-US"/>
        </w:rPr>
      </w:pPr>
      <w:r>
        <w:rPr>
          <w:lang w:eastAsia="en-US"/>
        </w:rPr>
        <w:t>U 2016. godini navedena su sredstva u iznosu od 480.862 kn utrošena na rekonstrukciju društvenog doma u Dopsinu.</w:t>
      </w:r>
    </w:p>
    <w:p w:rsidR="00756835" w:rsidRDefault="00756835" w:rsidP="00A17AD7">
      <w:pPr>
        <w:autoSpaceDE w:val="0"/>
        <w:autoSpaceDN w:val="0"/>
        <w:adjustRightInd w:val="0"/>
        <w:jc w:val="both"/>
        <w:rPr>
          <w:lang w:eastAsia="en-US"/>
        </w:rPr>
      </w:pPr>
    </w:p>
    <w:p w:rsidR="00756835" w:rsidRDefault="00756835" w:rsidP="00A17AD7">
      <w:pPr>
        <w:autoSpaceDE w:val="0"/>
        <w:autoSpaceDN w:val="0"/>
        <w:adjustRightInd w:val="0"/>
        <w:jc w:val="both"/>
        <w:rPr>
          <w:lang w:eastAsia="en-US"/>
        </w:rPr>
      </w:pPr>
    </w:p>
    <w:p w:rsidR="00756835" w:rsidRDefault="00756835" w:rsidP="00A17AD7">
      <w:pPr>
        <w:autoSpaceDE w:val="0"/>
        <w:autoSpaceDN w:val="0"/>
        <w:adjustRightInd w:val="0"/>
        <w:jc w:val="both"/>
        <w:rPr>
          <w:lang w:eastAsia="en-US"/>
        </w:rPr>
      </w:pPr>
    </w:p>
    <w:p w:rsidR="00756835" w:rsidRDefault="00756835" w:rsidP="00A17AD7">
      <w:pPr>
        <w:autoSpaceDE w:val="0"/>
        <w:autoSpaceDN w:val="0"/>
        <w:adjustRightInd w:val="0"/>
        <w:jc w:val="both"/>
        <w:rPr>
          <w:lang w:eastAsia="en-US"/>
        </w:rPr>
      </w:pPr>
    </w:p>
    <w:p w:rsidR="00756835" w:rsidRDefault="00756835" w:rsidP="00A17AD7">
      <w:pPr>
        <w:autoSpaceDE w:val="0"/>
        <w:autoSpaceDN w:val="0"/>
        <w:adjustRightInd w:val="0"/>
        <w:jc w:val="both"/>
        <w:rPr>
          <w:lang w:eastAsia="en-US"/>
        </w:rPr>
      </w:pPr>
    </w:p>
    <w:p w:rsidR="00756835" w:rsidRDefault="00756835" w:rsidP="00A17AD7">
      <w:pPr>
        <w:autoSpaceDE w:val="0"/>
        <w:autoSpaceDN w:val="0"/>
        <w:adjustRightInd w:val="0"/>
        <w:jc w:val="both"/>
        <w:rPr>
          <w:lang w:eastAsia="en-US"/>
        </w:rPr>
      </w:pPr>
    </w:p>
    <w:p w:rsidR="00756835" w:rsidRDefault="00756835" w:rsidP="00A17AD7">
      <w:pPr>
        <w:autoSpaceDE w:val="0"/>
        <w:autoSpaceDN w:val="0"/>
        <w:adjustRightInd w:val="0"/>
        <w:jc w:val="both"/>
        <w:rPr>
          <w:lang w:eastAsia="en-US"/>
        </w:rPr>
      </w:pPr>
    </w:p>
    <w:p w:rsidR="00756835" w:rsidRDefault="00756835" w:rsidP="00A17AD7">
      <w:pPr>
        <w:autoSpaceDE w:val="0"/>
        <w:autoSpaceDN w:val="0"/>
        <w:adjustRightInd w:val="0"/>
        <w:jc w:val="both"/>
        <w:rPr>
          <w:lang w:eastAsia="en-US"/>
        </w:rPr>
      </w:pPr>
    </w:p>
    <w:p w:rsidR="00756835" w:rsidRDefault="00756835" w:rsidP="00A17AD7">
      <w:pPr>
        <w:autoSpaceDE w:val="0"/>
        <w:autoSpaceDN w:val="0"/>
        <w:adjustRightInd w:val="0"/>
        <w:jc w:val="both"/>
        <w:rPr>
          <w:lang w:eastAsia="en-US"/>
        </w:rPr>
      </w:pPr>
    </w:p>
    <w:p w:rsidR="00756835" w:rsidRDefault="00756835" w:rsidP="00A17AD7">
      <w:pPr>
        <w:autoSpaceDE w:val="0"/>
        <w:autoSpaceDN w:val="0"/>
        <w:adjustRightInd w:val="0"/>
        <w:jc w:val="both"/>
        <w:rPr>
          <w:lang w:eastAsia="en-US"/>
        </w:rPr>
      </w:pPr>
    </w:p>
    <w:p w:rsidR="00756835" w:rsidRDefault="00756835" w:rsidP="00A17AD7">
      <w:pPr>
        <w:autoSpaceDE w:val="0"/>
        <w:autoSpaceDN w:val="0"/>
        <w:adjustRightInd w:val="0"/>
        <w:jc w:val="both"/>
        <w:rPr>
          <w:lang w:eastAsia="en-US"/>
        </w:rPr>
      </w:pPr>
    </w:p>
    <w:p w:rsidR="00756835" w:rsidRDefault="00756835" w:rsidP="00A17AD7">
      <w:pPr>
        <w:autoSpaceDE w:val="0"/>
        <w:autoSpaceDN w:val="0"/>
        <w:adjustRightInd w:val="0"/>
        <w:jc w:val="both"/>
        <w:rPr>
          <w:lang w:eastAsia="en-US"/>
        </w:rPr>
      </w:pPr>
    </w:p>
    <w:p w:rsidR="00756835" w:rsidRDefault="00756835" w:rsidP="00A17AD7">
      <w:pPr>
        <w:autoSpaceDE w:val="0"/>
        <w:autoSpaceDN w:val="0"/>
        <w:adjustRightInd w:val="0"/>
        <w:jc w:val="both"/>
        <w:rPr>
          <w:lang w:eastAsia="en-US"/>
        </w:rPr>
      </w:pPr>
    </w:p>
    <w:p w:rsidR="00756835" w:rsidRDefault="00756835" w:rsidP="00A17AD7">
      <w:pPr>
        <w:autoSpaceDE w:val="0"/>
        <w:autoSpaceDN w:val="0"/>
        <w:adjustRightInd w:val="0"/>
        <w:jc w:val="both"/>
        <w:rPr>
          <w:lang w:eastAsia="en-US"/>
        </w:rPr>
      </w:pPr>
    </w:p>
    <w:p w:rsidR="00756835" w:rsidRDefault="00756835" w:rsidP="00A17AD7">
      <w:pPr>
        <w:autoSpaceDE w:val="0"/>
        <w:autoSpaceDN w:val="0"/>
        <w:adjustRightInd w:val="0"/>
        <w:jc w:val="both"/>
        <w:rPr>
          <w:lang w:eastAsia="en-US"/>
        </w:rPr>
      </w:pPr>
    </w:p>
    <w:p w:rsidR="00756835" w:rsidRDefault="00756835" w:rsidP="00A17AD7">
      <w:pPr>
        <w:autoSpaceDE w:val="0"/>
        <w:autoSpaceDN w:val="0"/>
        <w:adjustRightInd w:val="0"/>
        <w:jc w:val="both"/>
        <w:rPr>
          <w:lang w:eastAsia="en-US"/>
        </w:rPr>
      </w:pPr>
    </w:p>
    <w:p w:rsidR="00756835" w:rsidRDefault="00756835" w:rsidP="00A17AD7">
      <w:pPr>
        <w:autoSpaceDE w:val="0"/>
        <w:autoSpaceDN w:val="0"/>
        <w:adjustRightInd w:val="0"/>
        <w:jc w:val="both"/>
        <w:rPr>
          <w:lang w:eastAsia="en-US"/>
        </w:rPr>
      </w:pPr>
    </w:p>
    <w:p w:rsidR="00756835" w:rsidRDefault="00756835" w:rsidP="00A17AD7">
      <w:pPr>
        <w:autoSpaceDE w:val="0"/>
        <w:autoSpaceDN w:val="0"/>
        <w:adjustRightInd w:val="0"/>
        <w:jc w:val="both"/>
        <w:rPr>
          <w:lang w:eastAsia="en-US"/>
        </w:rPr>
      </w:pPr>
    </w:p>
    <w:p w:rsidR="00756835" w:rsidRDefault="00756835" w:rsidP="00A17AD7">
      <w:pPr>
        <w:autoSpaceDE w:val="0"/>
        <w:autoSpaceDN w:val="0"/>
        <w:adjustRightInd w:val="0"/>
        <w:jc w:val="both"/>
        <w:rPr>
          <w:lang w:eastAsia="en-US"/>
        </w:rPr>
      </w:pPr>
    </w:p>
    <w:p w:rsidR="00756835" w:rsidRDefault="00756835" w:rsidP="00A17AD7">
      <w:pPr>
        <w:autoSpaceDE w:val="0"/>
        <w:autoSpaceDN w:val="0"/>
        <w:adjustRightInd w:val="0"/>
        <w:jc w:val="both"/>
        <w:rPr>
          <w:lang w:eastAsia="en-US"/>
        </w:rPr>
      </w:pPr>
    </w:p>
    <w:p w:rsidR="00756835" w:rsidRDefault="00756835" w:rsidP="00A17AD7">
      <w:pPr>
        <w:autoSpaceDE w:val="0"/>
        <w:autoSpaceDN w:val="0"/>
        <w:adjustRightInd w:val="0"/>
        <w:jc w:val="both"/>
        <w:rPr>
          <w:lang w:eastAsia="en-US"/>
        </w:rPr>
      </w:pPr>
    </w:p>
    <w:p w:rsidR="00756835" w:rsidRDefault="00756835" w:rsidP="00A17AD7">
      <w:pPr>
        <w:autoSpaceDE w:val="0"/>
        <w:autoSpaceDN w:val="0"/>
        <w:adjustRightInd w:val="0"/>
        <w:jc w:val="both"/>
        <w:rPr>
          <w:lang w:eastAsia="en-US"/>
        </w:rPr>
      </w:pPr>
    </w:p>
    <w:p w:rsidR="00756835" w:rsidRDefault="00756835" w:rsidP="00A17AD7">
      <w:pPr>
        <w:autoSpaceDE w:val="0"/>
        <w:autoSpaceDN w:val="0"/>
        <w:adjustRightInd w:val="0"/>
        <w:jc w:val="both"/>
        <w:rPr>
          <w:lang w:eastAsia="en-US"/>
        </w:rPr>
      </w:pPr>
    </w:p>
    <w:p w:rsidR="00756835" w:rsidRDefault="00756835" w:rsidP="00A17AD7">
      <w:pPr>
        <w:autoSpaceDE w:val="0"/>
        <w:autoSpaceDN w:val="0"/>
        <w:adjustRightInd w:val="0"/>
        <w:jc w:val="both"/>
        <w:rPr>
          <w:lang w:eastAsia="en-US"/>
        </w:rPr>
      </w:pPr>
    </w:p>
    <w:p w:rsidR="00756835" w:rsidRDefault="00756835" w:rsidP="005E39D3">
      <w:pPr>
        <w:autoSpaceDE w:val="0"/>
        <w:autoSpaceDN w:val="0"/>
        <w:adjustRightInd w:val="0"/>
        <w:rPr>
          <w:lang w:eastAsia="en-US"/>
        </w:rPr>
      </w:pPr>
    </w:p>
    <w:p w:rsidR="00756835" w:rsidRDefault="00756835" w:rsidP="005E39D3">
      <w:pPr>
        <w:autoSpaceDE w:val="0"/>
        <w:autoSpaceDN w:val="0"/>
        <w:adjustRightInd w:val="0"/>
        <w:rPr>
          <w:lang w:eastAsia="en-US"/>
        </w:rPr>
      </w:pPr>
    </w:p>
    <w:p w:rsidR="00756835" w:rsidRPr="00127EE9" w:rsidRDefault="00756835" w:rsidP="005E39D3">
      <w:pPr>
        <w:autoSpaceDE w:val="0"/>
        <w:autoSpaceDN w:val="0"/>
        <w:adjustRightInd w:val="0"/>
        <w:rPr>
          <w:b/>
          <w:bCs/>
          <w:lang w:eastAsia="en-US"/>
        </w:rPr>
      </w:pPr>
      <w:r>
        <w:rPr>
          <w:b/>
          <w:bCs/>
          <w:lang w:eastAsia="en-US"/>
        </w:rPr>
        <w:t>IV</w:t>
      </w:r>
      <w:r w:rsidRPr="00127EE9">
        <w:rPr>
          <w:b/>
          <w:bCs/>
          <w:lang w:eastAsia="en-US"/>
        </w:rPr>
        <w:t xml:space="preserve">. BILJEŠKE UZ IZVJEŠTAJ </w:t>
      </w:r>
      <w:r>
        <w:rPr>
          <w:b/>
          <w:bCs/>
          <w:lang w:eastAsia="en-US"/>
        </w:rPr>
        <w:t>RAS FUNKCIJSKI</w:t>
      </w:r>
    </w:p>
    <w:p w:rsidR="00756835" w:rsidRPr="00F313C6" w:rsidRDefault="00756835" w:rsidP="005E39D3">
      <w:pPr>
        <w:autoSpaceDE w:val="0"/>
        <w:autoSpaceDN w:val="0"/>
        <w:adjustRightInd w:val="0"/>
        <w:jc w:val="both"/>
        <w:rPr>
          <w:lang w:eastAsia="en-US"/>
        </w:rPr>
      </w:pPr>
      <w:r w:rsidRPr="00F313C6">
        <w:rPr>
          <w:lang w:eastAsia="en-US"/>
        </w:rPr>
        <w:t>Funkcijski se klasificiraju rashodi poslovanja i rashodi za nabavu nefinanc</w:t>
      </w:r>
      <w:r>
        <w:rPr>
          <w:lang w:eastAsia="en-US"/>
        </w:rPr>
        <w:t xml:space="preserve">ijske imovine, dok se izdaci za </w:t>
      </w:r>
      <w:r w:rsidRPr="00F313C6">
        <w:rPr>
          <w:lang w:eastAsia="en-US"/>
        </w:rPr>
        <w:t>financijsku imovinu i otplatu zajmova ne r</w:t>
      </w:r>
      <w:r>
        <w:rPr>
          <w:lang w:eastAsia="en-US"/>
        </w:rPr>
        <w:t xml:space="preserve">azvrstavaju funkcijski te se ne </w:t>
      </w:r>
      <w:r w:rsidRPr="00F313C6">
        <w:rPr>
          <w:lang w:eastAsia="en-US"/>
        </w:rPr>
        <w:t>uključuju u ovaj izvještaj.</w:t>
      </w:r>
    </w:p>
    <w:p w:rsidR="00756835" w:rsidRDefault="00756835" w:rsidP="00207ED6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756835" w:rsidRDefault="00756835" w:rsidP="005E39D3">
      <w:pPr>
        <w:autoSpaceDE w:val="0"/>
        <w:autoSpaceDN w:val="0"/>
        <w:adjustRightInd w:val="0"/>
        <w:jc w:val="both"/>
        <w:rPr>
          <w:lang w:eastAsia="en-US"/>
        </w:rPr>
      </w:pPr>
      <w:r w:rsidRPr="005E39D3">
        <w:rPr>
          <w:lang w:eastAsia="en-US"/>
        </w:rPr>
        <w:t xml:space="preserve">Izvještaj o rashodima prema funkcijskoj klasifikaciji na AOP 137 odgovara iznosu na AOP </w:t>
      </w:r>
      <w:r>
        <w:rPr>
          <w:lang w:eastAsia="en-US"/>
        </w:rPr>
        <w:t>402</w:t>
      </w:r>
      <w:r w:rsidRPr="005E39D3">
        <w:rPr>
          <w:lang w:eastAsia="en-US"/>
        </w:rPr>
        <w:t xml:space="preserve"> Ukupni</w:t>
      </w:r>
      <w:r>
        <w:rPr>
          <w:lang w:eastAsia="en-US"/>
        </w:rPr>
        <w:t xml:space="preserve"> </w:t>
      </w:r>
      <w:r w:rsidRPr="005E39D3">
        <w:rPr>
          <w:lang w:eastAsia="en-US"/>
        </w:rPr>
        <w:t xml:space="preserve">rashodi u Obrascu PR-RAS u iznosu od </w:t>
      </w:r>
      <w:r>
        <w:rPr>
          <w:lang w:eastAsia="en-US"/>
        </w:rPr>
        <w:t>4.449.278</w:t>
      </w:r>
      <w:r w:rsidRPr="005E39D3">
        <w:rPr>
          <w:lang w:eastAsia="en-US"/>
        </w:rPr>
        <w:t xml:space="preserve"> </w:t>
      </w:r>
      <w:r>
        <w:rPr>
          <w:lang w:eastAsia="en-US"/>
        </w:rPr>
        <w:t>kn.</w:t>
      </w:r>
    </w:p>
    <w:p w:rsidR="00756835" w:rsidRDefault="00756835" w:rsidP="005E39D3">
      <w:pPr>
        <w:autoSpaceDE w:val="0"/>
        <w:autoSpaceDN w:val="0"/>
        <w:adjustRightInd w:val="0"/>
        <w:jc w:val="both"/>
        <w:rPr>
          <w:lang w:eastAsia="en-US"/>
        </w:rPr>
      </w:pPr>
    </w:p>
    <w:tbl>
      <w:tblPr>
        <w:tblW w:w="0" w:type="auto"/>
        <w:tblInd w:w="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0A0"/>
      </w:tblPr>
      <w:tblGrid>
        <w:gridCol w:w="1271"/>
        <w:gridCol w:w="4394"/>
        <w:gridCol w:w="1843"/>
        <w:gridCol w:w="1552"/>
      </w:tblGrid>
      <w:tr w:rsidR="00756835" w:rsidTr="00E63995">
        <w:trPr>
          <w:trHeight w:val="442"/>
        </w:trPr>
        <w:tc>
          <w:tcPr>
            <w:tcW w:w="127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56835" w:rsidRPr="00E63995" w:rsidRDefault="00756835" w:rsidP="00E6399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lang w:eastAsia="en-US"/>
              </w:rPr>
            </w:pPr>
            <w:r w:rsidRPr="00E63995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Funkcija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56835" w:rsidRPr="00E63995" w:rsidRDefault="00756835" w:rsidP="00E6399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E63995">
              <w:rPr>
                <w:b/>
                <w:bCs/>
                <w:sz w:val="22"/>
                <w:szCs w:val="22"/>
                <w:lang w:eastAsia="en-US"/>
              </w:rPr>
              <w:t>Opis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56835" w:rsidRPr="00E63995" w:rsidRDefault="00756835" w:rsidP="00E6399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E63995">
              <w:rPr>
                <w:b/>
                <w:bCs/>
                <w:sz w:val="22"/>
                <w:szCs w:val="22"/>
                <w:lang w:eastAsia="en-US"/>
              </w:rPr>
              <w:t>Ostvarenje</w:t>
            </w:r>
          </w:p>
        </w:tc>
        <w:tc>
          <w:tcPr>
            <w:tcW w:w="155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56835" w:rsidRPr="00E63995" w:rsidRDefault="00756835" w:rsidP="00E6399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E63995">
              <w:rPr>
                <w:b/>
                <w:bCs/>
                <w:sz w:val="22"/>
                <w:szCs w:val="22"/>
                <w:lang w:eastAsia="en-US"/>
              </w:rPr>
              <w:t>AOP oznaka</w:t>
            </w:r>
          </w:p>
        </w:tc>
      </w:tr>
      <w:tr w:rsidR="00756835" w:rsidTr="00E63995">
        <w:trPr>
          <w:trHeight w:val="442"/>
        </w:trPr>
        <w:tc>
          <w:tcPr>
            <w:tcW w:w="1271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756835" w:rsidRPr="00E63995" w:rsidRDefault="00756835" w:rsidP="00E63995">
            <w:pPr>
              <w:autoSpaceDE w:val="0"/>
              <w:autoSpaceDN w:val="0"/>
              <w:adjustRightInd w:val="0"/>
              <w:jc w:val="center"/>
              <w:rPr>
                <w:i/>
                <w:iCs/>
                <w:lang w:eastAsia="en-US"/>
              </w:rPr>
            </w:pPr>
            <w:r w:rsidRPr="00E63995">
              <w:rPr>
                <w:i/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394" w:type="dxa"/>
            <w:shd w:val="clear" w:color="auto" w:fill="D9E2F3"/>
            <w:vAlign w:val="center"/>
          </w:tcPr>
          <w:p w:rsidR="00756835" w:rsidRPr="00E63995" w:rsidRDefault="00756835" w:rsidP="00E6399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63995">
              <w:rPr>
                <w:sz w:val="22"/>
                <w:szCs w:val="22"/>
                <w:lang w:eastAsia="en-US"/>
              </w:rPr>
              <w:t>Opće javne usluge</w:t>
            </w:r>
          </w:p>
        </w:tc>
        <w:tc>
          <w:tcPr>
            <w:tcW w:w="1843" w:type="dxa"/>
            <w:shd w:val="clear" w:color="auto" w:fill="D9E2F3"/>
            <w:vAlign w:val="center"/>
          </w:tcPr>
          <w:p w:rsidR="00756835" w:rsidRPr="00E63995" w:rsidRDefault="00756835" w:rsidP="00E63995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E63995">
              <w:rPr>
                <w:sz w:val="22"/>
                <w:szCs w:val="22"/>
                <w:lang w:eastAsia="en-US"/>
              </w:rPr>
              <w:t>2.220.331</w:t>
            </w:r>
          </w:p>
        </w:tc>
        <w:tc>
          <w:tcPr>
            <w:tcW w:w="1552" w:type="dxa"/>
            <w:shd w:val="clear" w:color="auto" w:fill="D9E2F3"/>
            <w:vAlign w:val="center"/>
          </w:tcPr>
          <w:p w:rsidR="00756835" w:rsidRPr="00E63995" w:rsidRDefault="00756835" w:rsidP="00E6399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3995">
              <w:rPr>
                <w:sz w:val="22"/>
                <w:szCs w:val="22"/>
                <w:lang w:eastAsia="en-US"/>
              </w:rPr>
              <w:t>001</w:t>
            </w:r>
          </w:p>
        </w:tc>
      </w:tr>
      <w:tr w:rsidR="00756835" w:rsidTr="00E63995">
        <w:trPr>
          <w:trHeight w:val="466"/>
        </w:trPr>
        <w:tc>
          <w:tcPr>
            <w:tcW w:w="1271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756835" w:rsidRPr="00E63995" w:rsidRDefault="00756835" w:rsidP="00E63995">
            <w:pPr>
              <w:autoSpaceDE w:val="0"/>
              <w:autoSpaceDN w:val="0"/>
              <w:adjustRightInd w:val="0"/>
              <w:jc w:val="center"/>
              <w:rPr>
                <w:i/>
                <w:iCs/>
                <w:lang w:eastAsia="en-US"/>
              </w:rPr>
            </w:pPr>
            <w:r w:rsidRPr="00E63995">
              <w:rPr>
                <w:i/>
                <w:i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394" w:type="dxa"/>
            <w:vAlign w:val="center"/>
          </w:tcPr>
          <w:p w:rsidR="00756835" w:rsidRPr="00E63995" w:rsidRDefault="00756835" w:rsidP="00E6399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63995">
              <w:rPr>
                <w:sz w:val="22"/>
                <w:szCs w:val="22"/>
                <w:lang w:eastAsia="en-US"/>
              </w:rPr>
              <w:t>Ekonomski poslovi</w:t>
            </w:r>
          </w:p>
        </w:tc>
        <w:tc>
          <w:tcPr>
            <w:tcW w:w="1843" w:type="dxa"/>
            <w:vAlign w:val="center"/>
          </w:tcPr>
          <w:p w:rsidR="00756835" w:rsidRPr="00E63995" w:rsidRDefault="00756835" w:rsidP="00E63995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E63995">
              <w:rPr>
                <w:sz w:val="22"/>
                <w:szCs w:val="22"/>
                <w:lang w:eastAsia="en-US"/>
              </w:rPr>
              <w:t>207.284</w:t>
            </w:r>
          </w:p>
        </w:tc>
        <w:tc>
          <w:tcPr>
            <w:tcW w:w="1552" w:type="dxa"/>
            <w:vAlign w:val="center"/>
          </w:tcPr>
          <w:p w:rsidR="00756835" w:rsidRPr="00E63995" w:rsidRDefault="00756835" w:rsidP="00E6399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3995">
              <w:rPr>
                <w:sz w:val="22"/>
                <w:szCs w:val="22"/>
                <w:lang w:eastAsia="en-US"/>
              </w:rPr>
              <w:t>031</w:t>
            </w:r>
          </w:p>
        </w:tc>
      </w:tr>
      <w:tr w:rsidR="00756835" w:rsidTr="00E63995">
        <w:trPr>
          <w:trHeight w:val="442"/>
        </w:trPr>
        <w:tc>
          <w:tcPr>
            <w:tcW w:w="1271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756835" w:rsidRPr="00E63995" w:rsidRDefault="00756835" w:rsidP="00E63995">
            <w:pPr>
              <w:autoSpaceDE w:val="0"/>
              <w:autoSpaceDN w:val="0"/>
              <w:adjustRightInd w:val="0"/>
              <w:jc w:val="center"/>
              <w:rPr>
                <w:i/>
                <w:iCs/>
                <w:lang w:eastAsia="en-US"/>
              </w:rPr>
            </w:pPr>
            <w:r w:rsidRPr="00E63995">
              <w:rPr>
                <w:i/>
                <w:i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394" w:type="dxa"/>
            <w:shd w:val="clear" w:color="auto" w:fill="D9E2F3"/>
            <w:vAlign w:val="center"/>
          </w:tcPr>
          <w:p w:rsidR="00756835" w:rsidRPr="00E63995" w:rsidRDefault="00756835" w:rsidP="00E6399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63995">
              <w:rPr>
                <w:sz w:val="22"/>
                <w:szCs w:val="22"/>
                <w:lang w:eastAsia="en-US"/>
              </w:rPr>
              <w:t>Zaštita okoliša</w:t>
            </w:r>
          </w:p>
        </w:tc>
        <w:tc>
          <w:tcPr>
            <w:tcW w:w="1843" w:type="dxa"/>
            <w:shd w:val="clear" w:color="auto" w:fill="D9E2F3"/>
            <w:vAlign w:val="center"/>
          </w:tcPr>
          <w:p w:rsidR="00756835" w:rsidRPr="00E63995" w:rsidRDefault="00756835" w:rsidP="00E63995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E63995">
              <w:rPr>
                <w:sz w:val="22"/>
                <w:szCs w:val="22"/>
                <w:lang w:eastAsia="en-US"/>
              </w:rPr>
              <w:t>115.000</w:t>
            </w:r>
          </w:p>
        </w:tc>
        <w:tc>
          <w:tcPr>
            <w:tcW w:w="1552" w:type="dxa"/>
            <w:shd w:val="clear" w:color="auto" w:fill="D9E2F3"/>
            <w:vAlign w:val="center"/>
          </w:tcPr>
          <w:p w:rsidR="00756835" w:rsidRPr="00E63995" w:rsidRDefault="00756835" w:rsidP="00E6399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3995">
              <w:rPr>
                <w:sz w:val="22"/>
                <w:szCs w:val="22"/>
                <w:lang w:eastAsia="en-US"/>
              </w:rPr>
              <w:t>071</w:t>
            </w:r>
          </w:p>
        </w:tc>
      </w:tr>
      <w:tr w:rsidR="00756835" w:rsidTr="00E63995">
        <w:trPr>
          <w:trHeight w:val="442"/>
        </w:trPr>
        <w:tc>
          <w:tcPr>
            <w:tcW w:w="1271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756835" w:rsidRPr="00E63995" w:rsidRDefault="00756835" w:rsidP="00E63995">
            <w:pPr>
              <w:autoSpaceDE w:val="0"/>
              <w:autoSpaceDN w:val="0"/>
              <w:adjustRightInd w:val="0"/>
              <w:jc w:val="center"/>
              <w:rPr>
                <w:i/>
                <w:iCs/>
                <w:lang w:eastAsia="en-US"/>
              </w:rPr>
            </w:pPr>
            <w:r w:rsidRPr="00E63995">
              <w:rPr>
                <w:i/>
                <w:i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4394" w:type="dxa"/>
            <w:vAlign w:val="center"/>
          </w:tcPr>
          <w:p w:rsidR="00756835" w:rsidRPr="00E63995" w:rsidRDefault="00756835" w:rsidP="00E6399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63995">
              <w:rPr>
                <w:sz w:val="22"/>
                <w:szCs w:val="22"/>
                <w:lang w:eastAsia="en-US"/>
              </w:rPr>
              <w:t>Usluge unapređenje stanovanja i zajednice</w:t>
            </w:r>
          </w:p>
        </w:tc>
        <w:tc>
          <w:tcPr>
            <w:tcW w:w="1843" w:type="dxa"/>
            <w:vAlign w:val="center"/>
          </w:tcPr>
          <w:p w:rsidR="00756835" w:rsidRPr="00E63995" w:rsidRDefault="00756835" w:rsidP="00E63995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E63995">
              <w:rPr>
                <w:sz w:val="22"/>
                <w:szCs w:val="22"/>
                <w:lang w:eastAsia="en-US"/>
              </w:rPr>
              <w:t>1.431.783</w:t>
            </w:r>
          </w:p>
        </w:tc>
        <w:tc>
          <w:tcPr>
            <w:tcW w:w="1552" w:type="dxa"/>
            <w:vAlign w:val="center"/>
          </w:tcPr>
          <w:p w:rsidR="00756835" w:rsidRPr="00E63995" w:rsidRDefault="00756835" w:rsidP="00E6399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3995">
              <w:rPr>
                <w:sz w:val="22"/>
                <w:szCs w:val="22"/>
                <w:lang w:eastAsia="en-US"/>
              </w:rPr>
              <w:t>078</w:t>
            </w:r>
          </w:p>
        </w:tc>
      </w:tr>
      <w:tr w:rsidR="00756835" w:rsidTr="00E63995">
        <w:trPr>
          <w:trHeight w:val="442"/>
        </w:trPr>
        <w:tc>
          <w:tcPr>
            <w:tcW w:w="1271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756835" w:rsidRPr="00E63995" w:rsidRDefault="00756835" w:rsidP="00E63995">
            <w:pPr>
              <w:autoSpaceDE w:val="0"/>
              <w:autoSpaceDN w:val="0"/>
              <w:adjustRightInd w:val="0"/>
              <w:jc w:val="center"/>
              <w:rPr>
                <w:i/>
                <w:iCs/>
                <w:lang w:eastAsia="en-US"/>
              </w:rPr>
            </w:pPr>
            <w:r w:rsidRPr="00E63995">
              <w:rPr>
                <w:i/>
                <w:i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394" w:type="dxa"/>
            <w:shd w:val="clear" w:color="auto" w:fill="D9E2F3"/>
            <w:vAlign w:val="center"/>
          </w:tcPr>
          <w:p w:rsidR="00756835" w:rsidRPr="00E63995" w:rsidRDefault="00756835" w:rsidP="00E6399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63995">
              <w:rPr>
                <w:sz w:val="22"/>
                <w:szCs w:val="22"/>
                <w:lang w:eastAsia="en-US"/>
              </w:rPr>
              <w:t>Rekreacija, kultura, religija</w:t>
            </w:r>
          </w:p>
        </w:tc>
        <w:tc>
          <w:tcPr>
            <w:tcW w:w="1843" w:type="dxa"/>
            <w:shd w:val="clear" w:color="auto" w:fill="D9E2F3"/>
            <w:vAlign w:val="center"/>
          </w:tcPr>
          <w:p w:rsidR="00756835" w:rsidRPr="00E63995" w:rsidRDefault="00756835" w:rsidP="00E63995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E63995">
              <w:rPr>
                <w:sz w:val="22"/>
                <w:szCs w:val="22"/>
                <w:lang w:eastAsia="en-US"/>
              </w:rPr>
              <w:t>87.000</w:t>
            </w:r>
          </w:p>
        </w:tc>
        <w:tc>
          <w:tcPr>
            <w:tcW w:w="1552" w:type="dxa"/>
            <w:shd w:val="clear" w:color="auto" w:fill="D9E2F3"/>
            <w:vAlign w:val="center"/>
          </w:tcPr>
          <w:p w:rsidR="00756835" w:rsidRPr="00E63995" w:rsidRDefault="00756835" w:rsidP="00E6399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3995">
              <w:rPr>
                <w:sz w:val="22"/>
                <w:szCs w:val="22"/>
                <w:lang w:eastAsia="en-US"/>
              </w:rPr>
              <w:t>103</w:t>
            </w:r>
          </w:p>
        </w:tc>
      </w:tr>
      <w:tr w:rsidR="00756835" w:rsidTr="00E63995">
        <w:trPr>
          <w:trHeight w:val="442"/>
        </w:trPr>
        <w:tc>
          <w:tcPr>
            <w:tcW w:w="1271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756835" w:rsidRPr="00E63995" w:rsidRDefault="00756835" w:rsidP="00E63995">
            <w:pPr>
              <w:autoSpaceDE w:val="0"/>
              <w:autoSpaceDN w:val="0"/>
              <w:adjustRightInd w:val="0"/>
              <w:jc w:val="center"/>
              <w:rPr>
                <w:i/>
                <w:iCs/>
                <w:lang w:eastAsia="en-US"/>
              </w:rPr>
            </w:pPr>
            <w:r w:rsidRPr="00E63995">
              <w:rPr>
                <w:i/>
                <w:i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4394" w:type="dxa"/>
            <w:vAlign w:val="center"/>
          </w:tcPr>
          <w:p w:rsidR="00756835" w:rsidRPr="00E63995" w:rsidRDefault="00756835" w:rsidP="00E6399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63995">
              <w:rPr>
                <w:sz w:val="22"/>
                <w:szCs w:val="22"/>
                <w:lang w:eastAsia="en-US"/>
              </w:rPr>
              <w:t>Obrazovanje</w:t>
            </w:r>
          </w:p>
        </w:tc>
        <w:tc>
          <w:tcPr>
            <w:tcW w:w="1843" w:type="dxa"/>
            <w:vAlign w:val="center"/>
          </w:tcPr>
          <w:p w:rsidR="00756835" w:rsidRPr="00E63995" w:rsidRDefault="00756835" w:rsidP="00E63995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E63995">
              <w:rPr>
                <w:sz w:val="22"/>
                <w:szCs w:val="22"/>
                <w:lang w:eastAsia="en-US"/>
              </w:rPr>
              <w:t>209.052</w:t>
            </w:r>
          </w:p>
        </w:tc>
        <w:tc>
          <w:tcPr>
            <w:tcW w:w="1552" w:type="dxa"/>
            <w:vAlign w:val="center"/>
          </w:tcPr>
          <w:p w:rsidR="00756835" w:rsidRPr="00E63995" w:rsidRDefault="00756835" w:rsidP="00E6399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3995">
              <w:rPr>
                <w:sz w:val="22"/>
                <w:szCs w:val="22"/>
                <w:lang w:eastAsia="en-US"/>
              </w:rPr>
              <w:t>110</w:t>
            </w:r>
          </w:p>
        </w:tc>
      </w:tr>
      <w:tr w:rsidR="00756835" w:rsidTr="00E63995">
        <w:trPr>
          <w:trHeight w:val="442"/>
        </w:trPr>
        <w:tc>
          <w:tcPr>
            <w:tcW w:w="1271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756835" w:rsidRPr="00E63995" w:rsidRDefault="00756835" w:rsidP="00E63995">
            <w:pPr>
              <w:autoSpaceDE w:val="0"/>
              <w:autoSpaceDN w:val="0"/>
              <w:adjustRightInd w:val="0"/>
              <w:jc w:val="center"/>
              <w:rPr>
                <w:i/>
                <w:iCs/>
                <w:lang w:eastAsia="en-US"/>
              </w:rPr>
            </w:pPr>
            <w:r w:rsidRPr="00E63995">
              <w:rPr>
                <w:i/>
                <w:i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4" w:type="dxa"/>
            <w:shd w:val="clear" w:color="auto" w:fill="D9E2F3"/>
            <w:vAlign w:val="center"/>
          </w:tcPr>
          <w:p w:rsidR="00756835" w:rsidRPr="00E63995" w:rsidRDefault="00756835" w:rsidP="00E6399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63995">
              <w:rPr>
                <w:sz w:val="22"/>
                <w:szCs w:val="22"/>
                <w:lang w:eastAsia="en-US"/>
              </w:rPr>
              <w:t>Socijalna zaštita</w:t>
            </w:r>
          </w:p>
        </w:tc>
        <w:tc>
          <w:tcPr>
            <w:tcW w:w="1843" w:type="dxa"/>
            <w:shd w:val="clear" w:color="auto" w:fill="D9E2F3"/>
            <w:vAlign w:val="center"/>
          </w:tcPr>
          <w:p w:rsidR="00756835" w:rsidRPr="00E63995" w:rsidRDefault="00756835" w:rsidP="00E63995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E63995">
              <w:rPr>
                <w:sz w:val="22"/>
                <w:szCs w:val="22"/>
                <w:lang w:eastAsia="en-US"/>
              </w:rPr>
              <w:t>178.828</w:t>
            </w:r>
          </w:p>
        </w:tc>
        <w:tc>
          <w:tcPr>
            <w:tcW w:w="1552" w:type="dxa"/>
            <w:shd w:val="clear" w:color="auto" w:fill="D9E2F3"/>
            <w:vAlign w:val="center"/>
          </w:tcPr>
          <w:p w:rsidR="00756835" w:rsidRPr="00E63995" w:rsidRDefault="00756835" w:rsidP="00E6399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3995">
              <w:rPr>
                <w:sz w:val="22"/>
                <w:szCs w:val="22"/>
                <w:lang w:eastAsia="en-US"/>
              </w:rPr>
              <w:t>125</w:t>
            </w:r>
          </w:p>
        </w:tc>
      </w:tr>
    </w:tbl>
    <w:p w:rsidR="00756835" w:rsidRPr="005E39D3" w:rsidRDefault="00756835" w:rsidP="005E39D3">
      <w:pPr>
        <w:autoSpaceDE w:val="0"/>
        <w:autoSpaceDN w:val="0"/>
        <w:adjustRightInd w:val="0"/>
        <w:jc w:val="both"/>
        <w:rPr>
          <w:lang w:eastAsia="en-US"/>
        </w:rPr>
      </w:pPr>
    </w:p>
    <w:p w:rsidR="00756835" w:rsidRDefault="00756835" w:rsidP="00207ED6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756835" w:rsidRPr="00207ED6" w:rsidRDefault="00756835" w:rsidP="00207ED6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207ED6">
        <w:rPr>
          <w:b/>
          <w:bCs/>
          <w:lang w:eastAsia="en-US"/>
        </w:rPr>
        <w:t>V. BILJEŠKE UZ IZVJEŠTAJ O PROMJENAMA U VRIJEDNOSTI I OBUJMU IMOVINE I</w:t>
      </w:r>
      <w:r>
        <w:rPr>
          <w:b/>
          <w:bCs/>
          <w:lang w:eastAsia="en-US"/>
        </w:rPr>
        <w:t xml:space="preserve"> </w:t>
      </w:r>
      <w:r w:rsidRPr="00207ED6">
        <w:rPr>
          <w:b/>
          <w:bCs/>
          <w:lang w:eastAsia="en-US"/>
        </w:rPr>
        <w:t>OBVEZA (P-VRIO)</w:t>
      </w:r>
    </w:p>
    <w:p w:rsidR="00756835" w:rsidRDefault="00756835" w:rsidP="00207ED6">
      <w:pPr>
        <w:autoSpaceDE w:val="0"/>
        <w:autoSpaceDN w:val="0"/>
        <w:adjustRightInd w:val="0"/>
        <w:jc w:val="both"/>
        <w:rPr>
          <w:lang w:eastAsia="en-US"/>
        </w:rPr>
      </w:pPr>
    </w:p>
    <w:p w:rsidR="00756835" w:rsidRPr="00F466DD" w:rsidRDefault="00756835" w:rsidP="00F466DD">
      <w:pPr>
        <w:autoSpaceDE w:val="0"/>
        <w:autoSpaceDN w:val="0"/>
        <w:adjustRightInd w:val="0"/>
        <w:jc w:val="both"/>
        <w:rPr>
          <w:lang w:eastAsia="en-US"/>
        </w:rPr>
      </w:pPr>
      <w:r w:rsidRPr="00F466DD">
        <w:rPr>
          <w:lang w:eastAsia="en-US"/>
        </w:rPr>
        <w:t>U izvještaju o promjenama u vrijednosti i obujmu imovine i obaveza iskazani su događaji koji utječu na neto</w:t>
      </w:r>
      <w:r>
        <w:rPr>
          <w:lang w:eastAsia="en-US"/>
        </w:rPr>
        <w:t xml:space="preserve"> </w:t>
      </w:r>
      <w:r w:rsidRPr="00F466DD">
        <w:rPr>
          <w:lang w:eastAsia="en-US"/>
        </w:rPr>
        <w:t>vrijednost koji nisu direktna posljedica transakcija iskazanih u prihodima i rashodima.</w:t>
      </w:r>
    </w:p>
    <w:p w:rsidR="00756835" w:rsidRPr="00242E1B" w:rsidRDefault="00756835" w:rsidP="00A17AD7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U izvještajnom razdoblju nije bilo promjena u vrijednosti i obujmu imovina i obveza.</w:t>
      </w:r>
    </w:p>
    <w:p w:rsidR="00756835" w:rsidRDefault="00756835" w:rsidP="00A17AD7">
      <w:pPr>
        <w:autoSpaceDE w:val="0"/>
        <w:autoSpaceDN w:val="0"/>
        <w:adjustRightInd w:val="0"/>
        <w:jc w:val="both"/>
        <w:rPr>
          <w:lang w:eastAsia="en-US"/>
        </w:rPr>
      </w:pPr>
    </w:p>
    <w:p w:rsidR="00756835" w:rsidRDefault="00756835" w:rsidP="00A17AD7">
      <w:pPr>
        <w:autoSpaceDE w:val="0"/>
        <w:autoSpaceDN w:val="0"/>
        <w:adjustRightInd w:val="0"/>
        <w:jc w:val="both"/>
        <w:rPr>
          <w:lang w:eastAsia="en-US"/>
        </w:rPr>
      </w:pPr>
    </w:p>
    <w:p w:rsidR="00756835" w:rsidRDefault="00756835" w:rsidP="00A17AD7">
      <w:pPr>
        <w:autoSpaceDE w:val="0"/>
        <w:autoSpaceDN w:val="0"/>
        <w:adjustRightInd w:val="0"/>
        <w:jc w:val="both"/>
        <w:rPr>
          <w:lang w:eastAsia="en-US"/>
        </w:rPr>
      </w:pPr>
    </w:p>
    <w:p w:rsidR="00756835" w:rsidRPr="00127EE9" w:rsidRDefault="00756835" w:rsidP="00127EE9">
      <w:pPr>
        <w:autoSpaceDE w:val="0"/>
        <w:autoSpaceDN w:val="0"/>
        <w:adjustRightInd w:val="0"/>
        <w:rPr>
          <w:b/>
          <w:bCs/>
          <w:lang w:eastAsia="en-US"/>
        </w:rPr>
      </w:pPr>
      <w:r>
        <w:rPr>
          <w:b/>
          <w:bCs/>
          <w:lang w:eastAsia="en-US"/>
        </w:rPr>
        <w:t>VI</w:t>
      </w:r>
      <w:r w:rsidRPr="00127EE9">
        <w:rPr>
          <w:b/>
          <w:bCs/>
          <w:lang w:eastAsia="en-US"/>
        </w:rPr>
        <w:t>. BILJEŠKE UZ IZVJEŠTAJ O OBVEZAMA</w:t>
      </w:r>
    </w:p>
    <w:p w:rsidR="00756835" w:rsidRDefault="00756835" w:rsidP="00674AA1">
      <w:pPr>
        <w:autoSpaceDE w:val="0"/>
        <w:autoSpaceDN w:val="0"/>
        <w:adjustRightInd w:val="0"/>
        <w:jc w:val="both"/>
        <w:rPr>
          <w:b/>
          <w:i/>
          <w:lang w:eastAsia="en-US"/>
        </w:rPr>
      </w:pPr>
    </w:p>
    <w:p w:rsidR="00756835" w:rsidRDefault="00756835" w:rsidP="00050A00">
      <w:pPr>
        <w:autoSpaceDE w:val="0"/>
        <w:autoSpaceDN w:val="0"/>
        <w:adjustRightInd w:val="0"/>
        <w:jc w:val="both"/>
        <w:rPr>
          <w:lang w:eastAsia="en-US"/>
        </w:rPr>
      </w:pPr>
      <w:r w:rsidRPr="00584B55">
        <w:rPr>
          <w:b/>
          <w:bCs/>
          <w:i/>
          <w:lang w:eastAsia="en-US"/>
        </w:rPr>
        <w:t>Bilješke uz AOP 038</w:t>
      </w:r>
      <w:r w:rsidRPr="00050A00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 xml:space="preserve">- </w:t>
      </w:r>
      <w:r w:rsidRPr="00050A00">
        <w:rPr>
          <w:lang w:eastAsia="en-US"/>
        </w:rPr>
        <w:t xml:space="preserve">stanje obveza na kraju izvještajnog razdoblja u iznosu od </w:t>
      </w:r>
      <w:r>
        <w:rPr>
          <w:lang w:eastAsia="en-US"/>
        </w:rPr>
        <w:t xml:space="preserve">664.737 kn </w:t>
      </w:r>
      <w:r w:rsidRPr="00050A00">
        <w:rPr>
          <w:lang w:eastAsia="en-US"/>
        </w:rPr>
        <w:t>odgovara iznosu</w:t>
      </w:r>
      <w:r>
        <w:rPr>
          <w:lang w:eastAsia="en-US"/>
        </w:rPr>
        <w:t xml:space="preserve"> na AOP 163</w:t>
      </w:r>
      <w:r w:rsidRPr="00050A00">
        <w:rPr>
          <w:lang w:eastAsia="en-US"/>
        </w:rPr>
        <w:t xml:space="preserve"> Obveze u Obrascu: Bilanca.</w:t>
      </w:r>
      <w:r>
        <w:rPr>
          <w:lang w:eastAsia="en-US"/>
        </w:rPr>
        <w:t xml:space="preserve"> </w:t>
      </w:r>
    </w:p>
    <w:p w:rsidR="00756835" w:rsidRDefault="00756835" w:rsidP="00674AA1">
      <w:pPr>
        <w:autoSpaceDE w:val="0"/>
        <w:autoSpaceDN w:val="0"/>
        <w:adjustRightInd w:val="0"/>
        <w:jc w:val="both"/>
        <w:rPr>
          <w:b/>
          <w:i/>
          <w:lang w:eastAsia="en-US"/>
        </w:rPr>
      </w:pPr>
    </w:p>
    <w:p w:rsidR="00756835" w:rsidRPr="0038781B" w:rsidRDefault="00756835" w:rsidP="00674AA1">
      <w:pPr>
        <w:autoSpaceDE w:val="0"/>
        <w:autoSpaceDN w:val="0"/>
        <w:adjustRightInd w:val="0"/>
        <w:jc w:val="both"/>
        <w:rPr>
          <w:b/>
          <w:i/>
          <w:lang w:eastAsia="en-US"/>
        </w:rPr>
      </w:pPr>
      <w:r w:rsidRPr="009D03D9">
        <w:rPr>
          <w:b/>
          <w:i/>
          <w:lang w:eastAsia="en-US"/>
        </w:rPr>
        <w:t>Bilješka uz AOP 039 - s</w:t>
      </w:r>
      <w:r w:rsidRPr="009D03D9">
        <w:rPr>
          <w:lang w:eastAsia="en-US"/>
        </w:rPr>
        <w:t xml:space="preserve">tanje dospjelih obveza na dan 31. prosinca 2016. godine iznosi </w:t>
      </w:r>
      <w:r>
        <w:rPr>
          <w:lang w:eastAsia="en-US"/>
        </w:rPr>
        <w:t>492.834</w:t>
      </w:r>
      <w:r w:rsidRPr="009D03D9">
        <w:rPr>
          <w:lang w:eastAsia="en-US"/>
        </w:rPr>
        <w:t xml:space="preserve"> kn, dok je stanje nedospjelih obveza </w:t>
      </w:r>
      <w:r>
        <w:rPr>
          <w:lang w:eastAsia="en-US"/>
        </w:rPr>
        <w:t>171.904</w:t>
      </w:r>
      <w:r w:rsidRPr="009D03D9">
        <w:rPr>
          <w:lang w:eastAsia="en-US"/>
        </w:rPr>
        <w:t xml:space="preserve"> kn. </w:t>
      </w:r>
    </w:p>
    <w:p w:rsidR="00756835" w:rsidRPr="009D03D9" w:rsidRDefault="00756835" w:rsidP="00674AA1">
      <w:pPr>
        <w:autoSpaceDE w:val="0"/>
        <w:autoSpaceDN w:val="0"/>
        <w:adjustRightInd w:val="0"/>
        <w:jc w:val="both"/>
        <w:rPr>
          <w:lang w:eastAsia="en-US"/>
        </w:rPr>
      </w:pPr>
      <w:r w:rsidRPr="009D03D9">
        <w:rPr>
          <w:lang w:eastAsia="en-US"/>
        </w:rPr>
        <w:t>Nedospjele obveze odnos se na:</w:t>
      </w:r>
    </w:p>
    <w:p w:rsidR="00756835" w:rsidRPr="009D03D9" w:rsidRDefault="00756835" w:rsidP="003A7E1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en-US"/>
        </w:rPr>
      </w:pPr>
      <w:r w:rsidRPr="009D03D9">
        <w:rPr>
          <w:lang w:eastAsia="en-US"/>
        </w:rPr>
        <w:t xml:space="preserve">obveze za zaposlene za obračunatu plaću za prosinac /2016. </w:t>
      </w:r>
    </w:p>
    <w:p w:rsidR="00756835" w:rsidRPr="009D03D9" w:rsidRDefault="00756835" w:rsidP="0038781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en-US"/>
        </w:rPr>
      </w:pPr>
      <w:r w:rsidRPr="009D03D9">
        <w:rPr>
          <w:lang w:eastAsia="en-US"/>
        </w:rPr>
        <w:t xml:space="preserve">obveze za materijalne rashode </w:t>
      </w:r>
      <w:r>
        <w:rPr>
          <w:lang w:eastAsia="en-US"/>
        </w:rPr>
        <w:t>prvenstveno režijske troškove, te izdaci vezani za rekonstrukciju pješačkih staza</w:t>
      </w:r>
    </w:p>
    <w:p w:rsidR="00756835" w:rsidRDefault="00756835" w:rsidP="00A8126A">
      <w:pPr>
        <w:autoSpaceDE w:val="0"/>
        <w:autoSpaceDN w:val="0"/>
        <w:adjustRightInd w:val="0"/>
        <w:jc w:val="right"/>
        <w:rPr>
          <w:b/>
          <w:lang w:eastAsia="en-US"/>
        </w:rPr>
      </w:pPr>
    </w:p>
    <w:p w:rsidR="00756835" w:rsidRDefault="00756835" w:rsidP="00A8126A">
      <w:pPr>
        <w:autoSpaceDE w:val="0"/>
        <w:autoSpaceDN w:val="0"/>
        <w:adjustRightInd w:val="0"/>
        <w:jc w:val="right"/>
        <w:rPr>
          <w:b/>
          <w:lang w:eastAsia="en-US"/>
        </w:rPr>
      </w:pPr>
    </w:p>
    <w:p w:rsidR="00756835" w:rsidRDefault="00756835" w:rsidP="00A8126A">
      <w:pPr>
        <w:autoSpaceDE w:val="0"/>
        <w:autoSpaceDN w:val="0"/>
        <w:adjustRightInd w:val="0"/>
        <w:jc w:val="right"/>
        <w:rPr>
          <w:b/>
          <w:lang w:eastAsia="en-US"/>
        </w:rPr>
      </w:pPr>
    </w:p>
    <w:p w:rsidR="00756835" w:rsidRDefault="00756835" w:rsidP="00A8126A">
      <w:pPr>
        <w:autoSpaceDE w:val="0"/>
        <w:autoSpaceDN w:val="0"/>
        <w:adjustRightInd w:val="0"/>
        <w:jc w:val="right"/>
        <w:rPr>
          <w:b/>
          <w:lang w:eastAsia="en-US"/>
        </w:rPr>
      </w:pPr>
    </w:p>
    <w:p w:rsidR="00756835" w:rsidRDefault="00756835" w:rsidP="00A8126A">
      <w:pPr>
        <w:autoSpaceDE w:val="0"/>
        <w:autoSpaceDN w:val="0"/>
        <w:adjustRightInd w:val="0"/>
        <w:jc w:val="right"/>
        <w:rPr>
          <w:b/>
          <w:lang w:eastAsia="en-US"/>
        </w:rPr>
      </w:pPr>
    </w:p>
    <w:p w:rsidR="00756835" w:rsidRDefault="00756835" w:rsidP="00460BF6">
      <w:pPr>
        <w:autoSpaceDE w:val="0"/>
        <w:autoSpaceDN w:val="0"/>
        <w:adjustRightInd w:val="0"/>
        <w:jc w:val="both"/>
        <w:rPr>
          <w:b/>
          <w:i/>
          <w:lang w:eastAsia="en-US"/>
        </w:rPr>
      </w:pPr>
      <w:bookmarkStart w:id="1" w:name="_GoBack"/>
    </w:p>
    <w:p w:rsidR="00756835" w:rsidRPr="00460BF6" w:rsidRDefault="00756835" w:rsidP="00460BF6">
      <w:pPr>
        <w:autoSpaceDE w:val="0"/>
        <w:autoSpaceDN w:val="0"/>
        <w:adjustRightInd w:val="0"/>
        <w:jc w:val="both"/>
        <w:rPr>
          <w:b/>
          <w:i/>
          <w:lang w:eastAsia="en-US"/>
        </w:rPr>
      </w:pPr>
      <w:r w:rsidRPr="00460BF6">
        <w:rPr>
          <w:b/>
          <w:i/>
          <w:lang w:eastAsia="en-US"/>
        </w:rPr>
        <w:t>Sporovi Općine Vladislavci</w:t>
      </w:r>
    </w:p>
    <w:p w:rsidR="00756835" w:rsidRDefault="00756835" w:rsidP="00460BF6">
      <w:pPr>
        <w:autoSpaceDE w:val="0"/>
        <w:autoSpaceDN w:val="0"/>
        <w:adjustRightInd w:val="0"/>
        <w:jc w:val="both"/>
        <w:rPr>
          <w:lang w:eastAsia="en-US"/>
        </w:rPr>
      </w:pPr>
    </w:p>
    <w:p w:rsidR="00756835" w:rsidRPr="00460BF6" w:rsidRDefault="00756835" w:rsidP="00460BF6">
      <w:pPr>
        <w:autoSpaceDE w:val="0"/>
        <w:autoSpaceDN w:val="0"/>
        <w:adjustRightInd w:val="0"/>
        <w:jc w:val="both"/>
        <w:rPr>
          <w:lang w:eastAsia="en-US"/>
        </w:rPr>
      </w:pPr>
      <w:r w:rsidRPr="00460BF6">
        <w:rPr>
          <w:lang w:eastAsia="en-US"/>
        </w:rPr>
        <w:t>Općina Vladislavci ima jedan spor za koji je u tijek</w:t>
      </w:r>
      <w:r>
        <w:rPr>
          <w:lang w:eastAsia="en-US"/>
        </w:rPr>
        <w:t xml:space="preserve">u žalbeni postupak pred Visokim </w:t>
      </w:r>
      <w:r w:rsidRPr="00460BF6">
        <w:rPr>
          <w:lang w:eastAsia="en-US"/>
        </w:rPr>
        <w:t>trgovačkim sudom u Zagrebu. Općina Vladislavci pobija presudu Trg</w:t>
      </w:r>
      <w:r>
        <w:rPr>
          <w:lang w:eastAsia="en-US"/>
        </w:rPr>
        <w:t xml:space="preserve">ovačkog suda u Osijeku kojom se </w:t>
      </w:r>
      <w:r w:rsidRPr="00460BF6">
        <w:rPr>
          <w:lang w:eastAsia="en-US"/>
        </w:rPr>
        <w:t>održava na snazi platni nalog iz rješenja o ovrsi na temel</w:t>
      </w:r>
      <w:r>
        <w:rPr>
          <w:lang w:eastAsia="en-US"/>
        </w:rPr>
        <w:t xml:space="preserve">ju vjerodostojne isprave javnog </w:t>
      </w:r>
      <w:r w:rsidRPr="00460BF6">
        <w:rPr>
          <w:lang w:eastAsia="en-US"/>
        </w:rPr>
        <w:t>bilježnika kojim je naloženo tuženiku Općini Vla</w:t>
      </w:r>
      <w:r>
        <w:rPr>
          <w:lang w:eastAsia="en-US"/>
        </w:rPr>
        <w:t xml:space="preserve">dislavci da </w:t>
      </w:r>
      <w:r w:rsidRPr="00460BF6">
        <w:rPr>
          <w:lang w:eastAsia="en-US"/>
        </w:rPr>
        <w:t xml:space="preserve">tužitelju plati iznos od </w:t>
      </w:r>
      <w:r>
        <w:rPr>
          <w:lang w:eastAsia="en-US"/>
        </w:rPr>
        <w:t xml:space="preserve">4.870,80 kn sa zateznom kamatom </w:t>
      </w:r>
      <w:r w:rsidRPr="00460BF6">
        <w:rPr>
          <w:lang w:eastAsia="en-US"/>
        </w:rPr>
        <w:t xml:space="preserve">tekućom od 07. siječnja 2012. godine pa do isplate u visini </w:t>
      </w:r>
      <w:r>
        <w:rPr>
          <w:lang w:eastAsia="en-US"/>
        </w:rPr>
        <w:t xml:space="preserve">eskontne kamatne stope Hrvatske </w:t>
      </w:r>
      <w:r w:rsidRPr="00460BF6">
        <w:rPr>
          <w:lang w:eastAsia="en-US"/>
        </w:rPr>
        <w:t>narodne banke koja je vrijedila zadnjeg dana polugodišta koje je</w:t>
      </w:r>
      <w:r>
        <w:rPr>
          <w:lang w:eastAsia="en-US"/>
        </w:rPr>
        <w:t xml:space="preserve"> prethodilo tekućem </w:t>
      </w:r>
      <w:r w:rsidRPr="00460BF6">
        <w:rPr>
          <w:lang w:eastAsia="en-US"/>
        </w:rPr>
        <w:t>polugodištu uvećanoj za osam postotnih poena, te da n</w:t>
      </w:r>
      <w:r>
        <w:rPr>
          <w:lang w:eastAsia="en-US"/>
        </w:rPr>
        <w:t xml:space="preserve">aknadi tužitelju trošak ovršnog </w:t>
      </w:r>
      <w:r w:rsidRPr="00460BF6">
        <w:rPr>
          <w:lang w:eastAsia="en-US"/>
        </w:rPr>
        <w:t>postupka u iznosu od 237,50 kn sa zateznom kamatom tekuć</w:t>
      </w:r>
      <w:r>
        <w:rPr>
          <w:lang w:eastAsia="en-US"/>
        </w:rPr>
        <w:t xml:space="preserve">om od 09. siječnja 2015. godine </w:t>
      </w:r>
      <w:r w:rsidRPr="00460BF6">
        <w:rPr>
          <w:lang w:eastAsia="en-US"/>
        </w:rPr>
        <w:t xml:space="preserve">u visini referentne stope Hrvatske narodne banke uvećane za </w:t>
      </w:r>
      <w:r>
        <w:rPr>
          <w:lang w:eastAsia="en-US"/>
        </w:rPr>
        <w:t xml:space="preserve">osam postotnih poena, te trošak </w:t>
      </w:r>
      <w:r w:rsidRPr="00460BF6">
        <w:rPr>
          <w:lang w:eastAsia="en-US"/>
        </w:rPr>
        <w:t>parničnog postupka u iznosu od 200,00 kn.</w:t>
      </w:r>
    </w:p>
    <w:p w:rsidR="00756835" w:rsidRPr="00460BF6" w:rsidRDefault="00756835" w:rsidP="00460BF6">
      <w:pPr>
        <w:autoSpaceDE w:val="0"/>
        <w:autoSpaceDN w:val="0"/>
        <w:adjustRightInd w:val="0"/>
        <w:jc w:val="both"/>
        <w:rPr>
          <w:lang w:eastAsia="en-US"/>
        </w:rPr>
      </w:pPr>
    </w:p>
    <w:p w:rsidR="00756835" w:rsidRPr="00460BF6" w:rsidRDefault="00756835" w:rsidP="00460BF6">
      <w:pPr>
        <w:autoSpaceDE w:val="0"/>
        <w:autoSpaceDN w:val="0"/>
        <w:adjustRightInd w:val="0"/>
        <w:jc w:val="both"/>
        <w:rPr>
          <w:lang w:eastAsia="en-US"/>
        </w:rPr>
      </w:pPr>
      <w:r w:rsidRPr="00460BF6">
        <w:rPr>
          <w:lang w:eastAsia="en-US"/>
        </w:rPr>
        <w:t>Općina Vladislavci pobija presudu u cijelosti zbog sklapanja</w:t>
      </w:r>
      <w:r>
        <w:rPr>
          <w:lang w:eastAsia="en-US"/>
        </w:rPr>
        <w:t xml:space="preserve"> ugovora na prijevaran način te </w:t>
      </w:r>
      <w:r w:rsidRPr="00460BF6">
        <w:rPr>
          <w:lang w:eastAsia="en-US"/>
        </w:rPr>
        <w:t xml:space="preserve">zato što isti sadrži niz nezakonitih i neistinitih navoda. Predstavnik navedene tvrtke </w:t>
      </w:r>
      <w:r>
        <w:rPr>
          <w:lang w:eastAsia="en-US"/>
        </w:rPr>
        <w:t xml:space="preserve">je došao u </w:t>
      </w:r>
      <w:r w:rsidRPr="00460BF6">
        <w:rPr>
          <w:lang w:eastAsia="en-US"/>
        </w:rPr>
        <w:t>Općinu Vladislavci te je na prijevaran način sklopio</w:t>
      </w:r>
      <w:r>
        <w:rPr>
          <w:lang w:eastAsia="en-US"/>
        </w:rPr>
        <w:t xml:space="preserve"> ugovor s tadašnjim načelnikom. </w:t>
      </w:r>
      <w:r w:rsidRPr="00460BF6">
        <w:rPr>
          <w:lang w:eastAsia="en-US"/>
        </w:rPr>
        <w:t xml:space="preserve">U 2015. godini je pokrenuta ovrha za neplaćanje računa </w:t>
      </w:r>
      <w:r>
        <w:rPr>
          <w:lang w:eastAsia="en-US"/>
        </w:rPr>
        <w:t xml:space="preserve">na </w:t>
      </w:r>
      <w:r w:rsidRPr="00460BF6">
        <w:rPr>
          <w:lang w:eastAsia="en-US"/>
        </w:rPr>
        <w:t>koju je Općina uložila prigovor, te je predmet završio pred Trgovačkim sudom u Osijeku.</w:t>
      </w:r>
    </w:p>
    <w:p w:rsidR="00756835" w:rsidRPr="00460BF6" w:rsidRDefault="00756835" w:rsidP="00460BF6">
      <w:pPr>
        <w:autoSpaceDE w:val="0"/>
        <w:autoSpaceDN w:val="0"/>
        <w:adjustRightInd w:val="0"/>
        <w:jc w:val="both"/>
        <w:rPr>
          <w:lang w:eastAsia="en-US"/>
        </w:rPr>
      </w:pPr>
    </w:p>
    <w:p w:rsidR="00756835" w:rsidRPr="00460BF6" w:rsidRDefault="00756835" w:rsidP="00460BF6">
      <w:pPr>
        <w:autoSpaceDE w:val="0"/>
        <w:autoSpaceDN w:val="0"/>
        <w:adjustRightInd w:val="0"/>
        <w:jc w:val="both"/>
        <w:rPr>
          <w:lang w:eastAsia="en-US"/>
        </w:rPr>
      </w:pPr>
      <w:r w:rsidRPr="00460BF6">
        <w:rPr>
          <w:lang w:eastAsia="en-US"/>
        </w:rPr>
        <w:t>Prvostupanjska presuda nije zadovoljila interese Općine Vla</w:t>
      </w:r>
      <w:r>
        <w:rPr>
          <w:lang w:eastAsia="en-US"/>
        </w:rPr>
        <w:t xml:space="preserve">dislavci te smo na istu uložili </w:t>
      </w:r>
      <w:r w:rsidRPr="00460BF6">
        <w:rPr>
          <w:lang w:eastAsia="en-US"/>
        </w:rPr>
        <w:t>žalbu. Postupak pred drugostupanjskim sudom još uvijek traje.</w:t>
      </w:r>
    </w:p>
    <w:p w:rsidR="00756835" w:rsidRDefault="00756835" w:rsidP="00A8126A">
      <w:pPr>
        <w:autoSpaceDE w:val="0"/>
        <w:autoSpaceDN w:val="0"/>
        <w:adjustRightInd w:val="0"/>
        <w:jc w:val="right"/>
        <w:rPr>
          <w:b/>
          <w:lang w:eastAsia="en-US"/>
        </w:rPr>
      </w:pPr>
    </w:p>
    <w:bookmarkEnd w:id="1"/>
    <w:p w:rsidR="00756835" w:rsidRDefault="00756835" w:rsidP="00A8126A">
      <w:pPr>
        <w:autoSpaceDE w:val="0"/>
        <w:autoSpaceDN w:val="0"/>
        <w:adjustRightInd w:val="0"/>
        <w:jc w:val="right"/>
        <w:rPr>
          <w:b/>
          <w:lang w:eastAsia="en-US"/>
        </w:rPr>
      </w:pPr>
    </w:p>
    <w:p w:rsidR="00756835" w:rsidRPr="00A8126A" w:rsidRDefault="00756835" w:rsidP="00A8126A">
      <w:pPr>
        <w:autoSpaceDE w:val="0"/>
        <w:autoSpaceDN w:val="0"/>
        <w:adjustRightInd w:val="0"/>
        <w:jc w:val="right"/>
        <w:rPr>
          <w:b/>
          <w:lang w:eastAsia="en-US"/>
        </w:rPr>
      </w:pPr>
      <w:r w:rsidRPr="00A8126A">
        <w:rPr>
          <w:b/>
          <w:lang w:eastAsia="en-US"/>
        </w:rPr>
        <w:t>Općinski načelnik:</w:t>
      </w:r>
    </w:p>
    <w:p w:rsidR="00756835" w:rsidRDefault="00756835" w:rsidP="00A8126A">
      <w:pPr>
        <w:autoSpaceDE w:val="0"/>
        <w:autoSpaceDN w:val="0"/>
        <w:adjustRightInd w:val="0"/>
        <w:jc w:val="right"/>
        <w:rPr>
          <w:lang w:eastAsia="en-US"/>
        </w:rPr>
      </w:pPr>
    </w:p>
    <w:p w:rsidR="00756835" w:rsidRPr="00A8126A" w:rsidRDefault="00756835" w:rsidP="00A8126A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Marjan Tomas</w:t>
      </w:r>
      <w:r w:rsidR="00120FA5">
        <w:rPr>
          <w:lang w:eastAsia="en-US"/>
        </w:rPr>
        <w:t>, v.r.</w:t>
      </w:r>
    </w:p>
    <w:sectPr w:rsidR="00756835" w:rsidRPr="00A8126A" w:rsidSect="005664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4A3" w:rsidRDefault="004004A3" w:rsidP="00F313C6">
      <w:r>
        <w:separator/>
      </w:r>
    </w:p>
  </w:endnote>
  <w:endnote w:type="continuationSeparator" w:id="0">
    <w:p w:rsidR="004004A3" w:rsidRDefault="004004A3" w:rsidP="00F31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835" w:rsidRDefault="00756835">
    <w:pPr>
      <w:pStyle w:val="Footer"/>
      <w:jc w:val="right"/>
    </w:pPr>
  </w:p>
  <w:p w:rsidR="00756835" w:rsidRDefault="007568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4A3" w:rsidRDefault="004004A3" w:rsidP="00F313C6">
      <w:r>
        <w:separator/>
      </w:r>
    </w:p>
  </w:footnote>
  <w:footnote w:type="continuationSeparator" w:id="0">
    <w:p w:rsidR="004004A3" w:rsidRDefault="004004A3" w:rsidP="00F31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835" w:rsidRDefault="00756835">
    <w:pPr>
      <w:pStyle w:val="Header"/>
      <w:pBdr>
        <w:bottom w:val="single" w:sz="4" w:space="1" w:color="D9D9D9"/>
      </w:pBdr>
      <w:jc w:val="right"/>
      <w:rPr>
        <w:b/>
        <w:bCs/>
      </w:rPr>
    </w:pPr>
    <w:r>
      <w:rPr>
        <w:color w:val="7F7F7F"/>
        <w:spacing w:val="60"/>
      </w:rPr>
      <w:t>Stranica</w:t>
    </w:r>
    <w:r>
      <w:t xml:space="preserve"> | </w:t>
    </w:r>
    <w:fldSimple w:instr="PAGE   \* MERGEFORMAT">
      <w:r w:rsidR="00120FA5" w:rsidRPr="00120FA5">
        <w:rPr>
          <w:b/>
          <w:bCs/>
          <w:noProof/>
        </w:rPr>
        <w:t>12</w:t>
      </w:r>
    </w:fldSimple>
  </w:p>
  <w:p w:rsidR="00756835" w:rsidRDefault="007568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C61"/>
    <w:multiLevelType w:val="hybridMultilevel"/>
    <w:tmpl w:val="87C62E2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727D8"/>
    <w:multiLevelType w:val="hybridMultilevel"/>
    <w:tmpl w:val="7DE0836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07BDA"/>
    <w:multiLevelType w:val="hybridMultilevel"/>
    <w:tmpl w:val="617EA3B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63D0F"/>
    <w:multiLevelType w:val="hybridMultilevel"/>
    <w:tmpl w:val="ED0A53C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8521B"/>
    <w:multiLevelType w:val="hybridMultilevel"/>
    <w:tmpl w:val="7E4C885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84FD3"/>
    <w:multiLevelType w:val="hybridMultilevel"/>
    <w:tmpl w:val="3900063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96A0A"/>
    <w:multiLevelType w:val="hybridMultilevel"/>
    <w:tmpl w:val="1C649E0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F3826BE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FA6189"/>
    <w:multiLevelType w:val="hybridMultilevel"/>
    <w:tmpl w:val="FB50D15E"/>
    <w:lvl w:ilvl="0" w:tplc="A47A74F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F26B1"/>
    <w:multiLevelType w:val="hybridMultilevel"/>
    <w:tmpl w:val="71D6B094"/>
    <w:lvl w:ilvl="0" w:tplc="A47A74F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421F5"/>
    <w:multiLevelType w:val="hybridMultilevel"/>
    <w:tmpl w:val="F482EB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180"/>
    <w:rsid w:val="0000644D"/>
    <w:rsid w:val="00007F77"/>
    <w:rsid w:val="000246A4"/>
    <w:rsid w:val="00031F05"/>
    <w:rsid w:val="00050A00"/>
    <w:rsid w:val="00053DE4"/>
    <w:rsid w:val="00072233"/>
    <w:rsid w:val="000D4753"/>
    <w:rsid w:val="000E1231"/>
    <w:rsid w:val="000F1F4E"/>
    <w:rsid w:val="00101E21"/>
    <w:rsid w:val="00120FA5"/>
    <w:rsid w:val="00122470"/>
    <w:rsid w:val="0012466C"/>
    <w:rsid w:val="00127EE9"/>
    <w:rsid w:val="00160284"/>
    <w:rsid w:val="00162829"/>
    <w:rsid w:val="0018622F"/>
    <w:rsid w:val="00187117"/>
    <w:rsid w:val="00195681"/>
    <w:rsid w:val="00195C65"/>
    <w:rsid w:val="001A4BCD"/>
    <w:rsid w:val="001C40CA"/>
    <w:rsid w:val="001C6B46"/>
    <w:rsid w:val="001F2C93"/>
    <w:rsid w:val="001F4572"/>
    <w:rsid w:val="00202F27"/>
    <w:rsid w:val="00207ED6"/>
    <w:rsid w:val="00211785"/>
    <w:rsid w:val="00212682"/>
    <w:rsid w:val="00223318"/>
    <w:rsid w:val="00226C50"/>
    <w:rsid w:val="00242E1B"/>
    <w:rsid w:val="00243DAA"/>
    <w:rsid w:val="0024630B"/>
    <w:rsid w:val="002619D8"/>
    <w:rsid w:val="002635C9"/>
    <w:rsid w:val="002771AE"/>
    <w:rsid w:val="0029338C"/>
    <w:rsid w:val="002A15FB"/>
    <w:rsid w:val="002A2D61"/>
    <w:rsid w:val="002A34A9"/>
    <w:rsid w:val="002A7BE6"/>
    <w:rsid w:val="002D7F44"/>
    <w:rsid w:val="003031C9"/>
    <w:rsid w:val="00303FDB"/>
    <w:rsid w:val="00331CFE"/>
    <w:rsid w:val="003622CA"/>
    <w:rsid w:val="003632FC"/>
    <w:rsid w:val="003838D7"/>
    <w:rsid w:val="0038781B"/>
    <w:rsid w:val="003A7E15"/>
    <w:rsid w:val="003D1822"/>
    <w:rsid w:val="003D57F8"/>
    <w:rsid w:val="003F08CE"/>
    <w:rsid w:val="003F4274"/>
    <w:rsid w:val="003F6428"/>
    <w:rsid w:val="004004A3"/>
    <w:rsid w:val="00430F1B"/>
    <w:rsid w:val="0043115C"/>
    <w:rsid w:val="00432CAB"/>
    <w:rsid w:val="00444ABA"/>
    <w:rsid w:val="00457022"/>
    <w:rsid w:val="00460BF6"/>
    <w:rsid w:val="00461CD4"/>
    <w:rsid w:val="00462A4E"/>
    <w:rsid w:val="004B5D07"/>
    <w:rsid w:val="004F39FC"/>
    <w:rsid w:val="004F4ED9"/>
    <w:rsid w:val="00534C04"/>
    <w:rsid w:val="00555650"/>
    <w:rsid w:val="00566431"/>
    <w:rsid w:val="00584B55"/>
    <w:rsid w:val="005A62FC"/>
    <w:rsid w:val="005C4371"/>
    <w:rsid w:val="005C4D64"/>
    <w:rsid w:val="005E3718"/>
    <w:rsid w:val="005E39D3"/>
    <w:rsid w:val="0061235E"/>
    <w:rsid w:val="00612AA2"/>
    <w:rsid w:val="00674AA1"/>
    <w:rsid w:val="006764A2"/>
    <w:rsid w:val="00686AB6"/>
    <w:rsid w:val="006B39D5"/>
    <w:rsid w:val="0070166A"/>
    <w:rsid w:val="007102D2"/>
    <w:rsid w:val="00717B06"/>
    <w:rsid w:val="00725A3A"/>
    <w:rsid w:val="00730D35"/>
    <w:rsid w:val="00751576"/>
    <w:rsid w:val="007552E8"/>
    <w:rsid w:val="00756835"/>
    <w:rsid w:val="0077201A"/>
    <w:rsid w:val="00776780"/>
    <w:rsid w:val="00792180"/>
    <w:rsid w:val="007979EA"/>
    <w:rsid w:val="008060F6"/>
    <w:rsid w:val="00820BE0"/>
    <w:rsid w:val="008218F6"/>
    <w:rsid w:val="00833F3D"/>
    <w:rsid w:val="008447DB"/>
    <w:rsid w:val="0088590A"/>
    <w:rsid w:val="00892587"/>
    <w:rsid w:val="008A6DEC"/>
    <w:rsid w:val="008D1D63"/>
    <w:rsid w:val="008E580C"/>
    <w:rsid w:val="008E7FF8"/>
    <w:rsid w:val="008F0468"/>
    <w:rsid w:val="008F26BA"/>
    <w:rsid w:val="008F5988"/>
    <w:rsid w:val="0091055C"/>
    <w:rsid w:val="00914A95"/>
    <w:rsid w:val="00930BB0"/>
    <w:rsid w:val="0093694F"/>
    <w:rsid w:val="009812C7"/>
    <w:rsid w:val="00993FD5"/>
    <w:rsid w:val="009B38DC"/>
    <w:rsid w:val="009B7676"/>
    <w:rsid w:val="009D03D9"/>
    <w:rsid w:val="009D15D5"/>
    <w:rsid w:val="009F6312"/>
    <w:rsid w:val="00A02A82"/>
    <w:rsid w:val="00A17AD7"/>
    <w:rsid w:val="00A24B58"/>
    <w:rsid w:val="00A45F81"/>
    <w:rsid w:val="00A8126A"/>
    <w:rsid w:val="00A842C6"/>
    <w:rsid w:val="00A94DC3"/>
    <w:rsid w:val="00A9637F"/>
    <w:rsid w:val="00A96380"/>
    <w:rsid w:val="00AB2D98"/>
    <w:rsid w:val="00AC2AAB"/>
    <w:rsid w:val="00AD0A81"/>
    <w:rsid w:val="00AD4AD4"/>
    <w:rsid w:val="00AF35F3"/>
    <w:rsid w:val="00AF497D"/>
    <w:rsid w:val="00AF7CF5"/>
    <w:rsid w:val="00B013D0"/>
    <w:rsid w:val="00B0629F"/>
    <w:rsid w:val="00B450AD"/>
    <w:rsid w:val="00B473ED"/>
    <w:rsid w:val="00B52886"/>
    <w:rsid w:val="00B66F49"/>
    <w:rsid w:val="00B71903"/>
    <w:rsid w:val="00B80B7A"/>
    <w:rsid w:val="00B9018E"/>
    <w:rsid w:val="00BA7E07"/>
    <w:rsid w:val="00BB1C27"/>
    <w:rsid w:val="00BD4A64"/>
    <w:rsid w:val="00BE558A"/>
    <w:rsid w:val="00C073F5"/>
    <w:rsid w:val="00C124F4"/>
    <w:rsid w:val="00C16C77"/>
    <w:rsid w:val="00C31A95"/>
    <w:rsid w:val="00C37FF2"/>
    <w:rsid w:val="00C408A8"/>
    <w:rsid w:val="00C64AF0"/>
    <w:rsid w:val="00C65E0F"/>
    <w:rsid w:val="00CA460E"/>
    <w:rsid w:val="00CB1672"/>
    <w:rsid w:val="00CC557E"/>
    <w:rsid w:val="00D42A6C"/>
    <w:rsid w:val="00D57E4E"/>
    <w:rsid w:val="00D623EF"/>
    <w:rsid w:val="00D62CE3"/>
    <w:rsid w:val="00D71B5B"/>
    <w:rsid w:val="00D76452"/>
    <w:rsid w:val="00D80110"/>
    <w:rsid w:val="00D90457"/>
    <w:rsid w:val="00DA00AC"/>
    <w:rsid w:val="00DA4A17"/>
    <w:rsid w:val="00DC6BF7"/>
    <w:rsid w:val="00DD07CB"/>
    <w:rsid w:val="00DD4B37"/>
    <w:rsid w:val="00DE15CC"/>
    <w:rsid w:val="00DE2711"/>
    <w:rsid w:val="00DE41E7"/>
    <w:rsid w:val="00DF3B47"/>
    <w:rsid w:val="00E124A7"/>
    <w:rsid w:val="00E15ACA"/>
    <w:rsid w:val="00E316DA"/>
    <w:rsid w:val="00E4437F"/>
    <w:rsid w:val="00E44E2B"/>
    <w:rsid w:val="00E4689E"/>
    <w:rsid w:val="00E63995"/>
    <w:rsid w:val="00E85DB1"/>
    <w:rsid w:val="00E9027E"/>
    <w:rsid w:val="00E96350"/>
    <w:rsid w:val="00ED0764"/>
    <w:rsid w:val="00ED7730"/>
    <w:rsid w:val="00EE0718"/>
    <w:rsid w:val="00EE3DE0"/>
    <w:rsid w:val="00EE55EB"/>
    <w:rsid w:val="00EF1C1A"/>
    <w:rsid w:val="00F11F28"/>
    <w:rsid w:val="00F16F24"/>
    <w:rsid w:val="00F313C6"/>
    <w:rsid w:val="00F46073"/>
    <w:rsid w:val="00F46206"/>
    <w:rsid w:val="00F466DD"/>
    <w:rsid w:val="00F5422D"/>
    <w:rsid w:val="00F5434B"/>
    <w:rsid w:val="00F6347C"/>
    <w:rsid w:val="00F80503"/>
    <w:rsid w:val="00F84EE2"/>
    <w:rsid w:val="00FA6824"/>
    <w:rsid w:val="00FB0850"/>
    <w:rsid w:val="00FC5356"/>
    <w:rsid w:val="00FD71A1"/>
    <w:rsid w:val="00FE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67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B767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B7676"/>
    <w:rPr>
      <w:rFonts w:ascii="Times New Roman" w:hAnsi="Times New Roman" w:cs="Times New Roman"/>
      <w:b/>
      <w:bCs/>
      <w:sz w:val="24"/>
      <w:szCs w:val="24"/>
      <w:lang w:eastAsia="hr-HR"/>
    </w:rPr>
  </w:style>
  <w:style w:type="paragraph" w:styleId="NormalWeb">
    <w:name w:val="Normal (Web)"/>
    <w:basedOn w:val="Normal"/>
    <w:uiPriority w:val="99"/>
    <w:rsid w:val="009B767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A45F8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D42A6C"/>
    <w:pPr>
      <w:jc w:val="both"/>
    </w:pPr>
    <w:rPr>
      <w:rFonts w:ascii="Arial" w:hAnsi="Arial" w:cs="Arial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42A6C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F313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13C6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F313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13C6"/>
    <w:rPr>
      <w:rFonts w:ascii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99"/>
    <w:rsid w:val="005E3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icareetke3-isticanje51">
    <w:name w:val="Tablica rešetke 3 - isticanje 51"/>
    <w:uiPriority w:val="99"/>
    <w:rsid w:val="00DC6BF7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F6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6428"/>
    <w:rPr>
      <w:rFonts w:ascii="Tahoma" w:hAnsi="Tahoma" w:cs="Tahoma"/>
      <w:sz w:val="16"/>
      <w:szCs w:val="16"/>
      <w:lang w:eastAsia="hr-HR"/>
    </w:rPr>
  </w:style>
  <w:style w:type="character" w:customStyle="1" w:styleId="fontstyle01">
    <w:name w:val="fontstyle01"/>
    <w:basedOn w:val="DefaultParagraphFont"/>
    <w:uiPriority w:val="99"/>
    <w:rsid w:val="004F4ED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06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2972</Words>
  <Characters>16946</Characters>
  <Application>Microsoft Office Word</Application>
  <DocSecurity>0</DocSecurity>
  <Lines>141</Lines>
  <Paragraphs>39</Paragraphs>
  <ScaleCrop>false</ScaleCrop>
  <Company/>
  <LinksUpToDate>false</LinksUpToDate>
  <CharactersWithSpaces>19879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 financijske izvještaje za razdoblje 01.01. – 31.12.2016.</dc:title>
  <dc:subject/>
  <dc:creator>Dorjana Šorgo Musulin</dc:creator>
  <cp:keywords/>
  <dc:description/>
  <cp:lastModifiedBy>Goca</cp:lastModifiedBy>
  <cp:revision>4</cp:revision>
  <cp:lastPrinted>2017-02-20T07:11:00Z</cp:lastPrinted>
  <dcterms:created xsi:type="dcterms:W3CDTF">2017-02-20T07:02:00Z</dcterms:created>
  <dcterms:modified xsi:type="dcterms:W3CDTF">2017-07-10T12:43:00Z</dcterms:modified>
</cp:coreProperties>
</file>