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F" w:rsidRDefault="007B6C3F" w:rsidP="009B7676">
      <w:pPr>
        <w:pStyle w:val="NormalWeb"/>
        <w:spacing w:before="0" w:beforeAutospacing="0" w:after="0" w:afterAutospacing="0"/>
      </w:pPr>
    </w:p>
    <w:p w:rsidR="007B6C3F" w:rsidRPr="008447DB" w:rsidRDefault="007B6C3F" w:rsidP="009B7676">
      <w:pPr>
        <w:pStyle w:val="NormalWeb"/>
        <w:spacing w:before="0" w:beforeAutospacing="0" w:after="0" w:afterAutospacing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51pt;margin-top:.75pt;width:36pt;height:45pt;z-index:-251658240;visibility:visible" wrapcoords="5400 360 450 1080 0 2880 2250 18360 6750 21240 8100 21240 13050 21240 14400 21240 19350 18360 19800 11880 21600 2880 21150 1080 16200 360 5400 360">
            <v:imagedata r:id="rId7" o:title=""/>
            <w10:wrap type="tight"/>
          </v:shape>
        </w:pict>
      </w:r>
    </w:p>
    <w:p w:rsidR="007B6C3F" w:rsidRDefault="007B6C3F" w:rsidP="009B7676">
      <w:pPr>
        <w:pStyle w:val="NormalWeb"/>
        <w:spacing w:before="0" w:beforeAutospacing="0" w:after="0" w:afterAutospacing="0"/>
      </w:pPr>
    </w:p>
    <w:p w:rsidR="007B6C3F" w:rsidRDefault="007B6C3F" w:rsidP="009B7676">
      <w:pPr>
        <w:pStyle w:val="NormalWeb"/>
        <w:spacing w:before="0" w:beforeAutospacing="0" w:after="0" w:afterAutospacing="0"/>
      </w:pPr>
    </w:p>
    <w:p w:rsidR="007B6C3F" w:rsidRDefault="007B6C3F" w:rsidP="009B7676">
      <w:pPr>
        <w:pStyle w:val="NormalWeb"/>
        <w:spacing w:before="0" w:beforeAutospacing="0" w:after="0" w:afterAutospacing="0"/>
      </w:pPr>
    </w:p>
    <w:p w:rsidR="007B6C3F" w:rsidRPr="004F39FC" w:rsidRDefault="007B6C3F" w:rsidP="009B7676">
      <w:pPr>
        <w:pStyle w:val="NormalWeb"/>
        <w:spacing w:before="0" w:beforeAutospacing="0" w:after="0" w:afterAutospacing="0"/>
        <w:rPr>
          <w:b/>
        </w:rPr>
      </w:pPr>
      <w:r w:rsidRPr="004F39FC">
        <w:rPr>
          <w:b/>
        </w:rPr>
        <w:t>REPUBLIKA HRVATSKA</w:t>
      </w:r>
    </w:p>
    <w:p w:rsidR="007B6C3F" w:rsidRPr="004F39FC" w:rsidRDefault="007B6C3F" w:rsidP="009B7676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OSIJEČKO BARANJSKA</w:t>
      </w:r>
      <w:r w:rsidRPr="004F39FC">
        <w:rPr>
          <w:b/>
        </w:rPr>
        <w:t xml:space="preserve"> ŽUPANIJA</w:t>
      </w:r>
    </w:p>
    <w:p w:rsidR="007B6C3F" w:rsidRPr="004F39FC" w:rsidRDefault="007B6C3F" w:rsidP="009B7676">
      <w:pPr>
        <w:pStyle w:val="NormalWeb"/>
        <w:spacing w:before="0" w:beforeAutospacing="0" w:after="0" w:afterAutospacing="0"/>
        <w:rPr>
          <w:b/>
        </w:rPr>
      </w:pPr>
      <w:r w:rsidRPr="004F39FC">
        <w:rPr>
          <w:b/>
        </w:rPr>
        <w:t xml:space="preserve">OPĆINA </w:t>
      </w:r>
      <w:r>
        <w:rPr>
          <w:b/>
        </w:rPr>
        <w:t>VLADISLAVCI</w:t>
      </w:r>
    </w:p>
    <w:p w:rsidR="007B6C3F" w:rsidRDefault="007B6C3F" w:rsidP="009B7676">
      <w:r>
        <w:t>Vladislavci, Kralja Tomislava 141</w:t>
      </w:r>
    </w:p>
    <w:p w:rsidR="007B6C3F" w:rsidRPr="00A02A82" w:rsidRDefault="007B6C3F" w:rsidP="009B7676">
      <w:r>
        <w:t>OIB: 17797796502</w:t>
      </w:r>
    </w:p>
    <w:p w:rsidR="007B6C3F" w:rsidRDefault="007B6C3F" w:rsidP="009B7676">
      <w:pPr>
        <w:pStyle w:val="NormalWeb"/>
        <w:spacing w:before="0" w:beforeAutospacing="0" w:after="0" w:afterAutospacing="0"/>
        <w:rPr>
          <w:iCs/>
          <w:color w:val="FF0000"/>
        </w:rPr>
      </w:pPr>
    </w:p>
    <w:p w:rsidR="007B6C3F" w:rsidRPr="00B9018E" w:rsidRDefault="007B6C3F" w:rsidP="009B7676">
      <w:pPr>
        <w:pStyle w:val="NormalWeb"/>
        <w:spacing w:before="0" w:beforeAutospacing="0" w:after="0" w:afterAutospacing="0"/>
        <w:rPr>
          <w:iCs/>
        </w:rPr>
      </w:pPr>
      <w:r w:rsidRPr="00B9018E">
        <w:rPr>
          <w:iCs/>
        </w:rPr>
        <w:t>Klasa: 400-0</w:t>
      </w:r>
      <w:r>
        <w:rPr>
          <w:iCs/>
        </w:rPr>
        <w:t>4</w:t>
      </w:r>
      <w:r w:rsidRPr="00B9018E">
        <w:rPr>
          <w:iCs/>
        </w:rPr>
        <w:t>/1</w:t>
      </w:r>
      <w:r>
        <w:rPr>
          <w:iCs/>
        </w:rPr>
        <w:t>8</w:t>
      </w:r>
      <w:r w:rsidRPr="00B9018E">
        <w:rPr>
          <w:iCs/>
        </w:rPr>
        <w:t>-</w:t>
      </w:r>
      <w:r>
        <w:rPr>
          <w:iCs/>
        </w:rPr>
        <w:t>01/04</w:t>
      </w:r>
    </w:p>
    <w:p w:rsidR="007B6C3F" w:rsidRPr="00B9018E" w:rsidRDefault="007B6C3F" w:rsidP="009B7676">
      <w:pPr>
        <w:pStyle w:val="NormalWeb"/>
        <w:spacing w:before="0" w:beforeAutospacing="0" w:after="0" w:afterAutospacing="0"/>
        <w:rPr>
          <w:iCs/>
        </w:rPr>
      </w:pPr>
      <w:r w:rsidRPr="00B9018E">
        <w:rPr>
          <w:iCs/>
        </w:rPr>
        <w:t>Urbroj: 2158/07-0</w:t>
      </w:r>
      <w:r>
        <w:rPr>
          <w:iCs/>
        </w:rPr>
        <w:t>2</w:t>
      </w:r>
      <w:r w:rsidRPr="00B9018E">
        <w:rPr>
          <w:iCs/>
        </w:rPr>
        <w:t>-1</w:t>
      </w:r>
      <w:r>
        <w:rPr>
          <w:iCs/>
        </w:rPr>
        <w:t>9</w:t>
      </w:r>
      <w:r w:rsidRPr="00B9018E">
        <w:rPr>
          <w:iCs/>
        </w:rPr>
        <w:t>-01</w:t>
      </w:r>
    </w:p>
    <w:p w:rsidR="007B6C3F" w:rsidRPr="00A02A82" w:rsidRDefault="007B6C3F" w:rsidP="009B7676">
      <w:r>
        <w:t xml:space="preserve">Vladislavci, 15. veljače </w:t>
      </w:r>
      <w:r w:rsidRPr="00A02A82">
        <w:t xml:space="preserve"> 201</w:t>
      </w:r>
      <w:r>
        <w:t>9</w:t>
      </w:r>
      <w:r w:rsidRPr="00A02A82">
        <w:t>. godine</w:t>
      </w:r>
    </w:p>
    <w:p w:rsidR="007B6C3F" w:rsidRDefault="007B6C3F" w:rsidP="009B7676">
      <w:pPr>
        <w:pStyle w:val="Title"/>
        <w:rPr>
          <w:sz w:val="28"/>
          <w:szCs w:val="28"/>
        </w:rPr>
      </w:pPr>
    </w:p>
    <w:p w:rsidR="007B6C3F" w:rsidRDefault="007B6C3F" w:rsidP="009B7676">
      <w:pPr>
        <w:pStyle w:val="Title"/>
        <w:rPr>
          <w:sz w:val="28"/>
          <w:szCs w:val="28"/>
        </w:rPr>
      </w:pPr>
    </w:p>
    <w:p w:rsidR="007B6C3F" w:rsidRPr="00E9027E" w:rsidRDefault="007B6C3F" w:rsidP="009B7676">
      <w:pPr>
        <w:pStyle w:val="Title"/>
        <w:rPr>
          <w:sz w:val="40"/>
          <w:szCs w:val="40"/>
        </w:rPr>
      </w:pPr>
      <w:r w:rsidRPr="00E9027E">
        <w:rPr>
          <w:sz w:val="40"/>
          <w:szCs w:val="40"/>
        </w:rPr>
        <w:t xml:space="preserve">BILJEŠKE </w:t>
      </w:r>
    </w:p>
    <w:p w:rsidR="007B6C3F" w:rsidRDefault="007B6C3F" w:rsidP="009B7676">
      <w:pPr>
        <w:pStyle w:val="Title"/>
        <w:rPr>
          <w:sz w:val="28"/>
          <w:szCs w:val="28"/>
        </w:rPr>
      </w:pPr>
      <w:r>
        <w:rPr>
          <w:sz w:val="28"/>
          <w:szCs w:val="28"/>
        </w:rPr>
        <w:t>UZ FINANCIJSKE IZVJEŠTAJE</w:t>
      </w:r>
    </w:p>
    <w:p w:rsidR="007B6C3F" w:rsidRDefault="007B6C3F" w:rsidP="00E9027E">
      <w:pPr>
        <w:pStyle w:val="Titl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za razdoblje </w:t>
      </w:r>
      <w:r w:rsidRPr="004F39FC">
        <w:rPr>
          <w:b w:val="0"/>
          <w:i/>
          <w:sz w:val="28"/>
          <w:szCs w:val="28"/>
        </w:rPr>
        <w:t>od 01. siječnja do 31. prosinca 201</w:t>
      </w:r>
      <w:r>
        <w:rPr>
          <w:b w:val="0"/>
          <w:i/>
          <w:sz w:val="28"/>
          <w:szCs w:val="28"/>
        </w:rPr>
        <w:t>8</w:t>
      </w:r>
      <w:r w:rsidRPr="004F39FC">
        <w:rPr>
          <w:b w:val="0"/>
          <w:i/>
          <w:sz w:val="28"/>
          <w:szCs w:val="28"/>
        </w:rPr>
        <w:t>. godine</w:t>
      </w:r>
    </w:p>
    <w:p w:rsidR="007B6C3F" w:rsidRPr="004F39FC" w:rsidRDefault="007B6C3F" w:rsidP="008E7FF8">
      <w:pPr>
        <w:pStyle w:val="Title"/>
        <w:jc w:val="left"/>
        <w:rPr>
          <w:b w:val="0"/>
          <w:i/>
          <w:sz w:val="28"/>
          <w:szCs w:val="28"/>
        </w:rPr>
      </w:pPr>
    </w:p>
    <w:p w:rsidR="007B6C3F" w:rsidRDefault="007B6C3F"/>
    <w:p w:rsidR="007B6C3F" w:rsidRDefault="007B6C3F" w:rsidP="00EE0718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I. UVOD</w:t>
      </w:r>
    </w:p>
    <w:p w:rsidR="007B6C3F" w:rsidRDefault="007B6C3F" w:rsidP="00EE071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7B6C3F" w:rsidRDefault="007B6C3F" w:rsidP="00EE0718">
      <w:pPr>
        <w:autoSpaceDE w:val="0"/>
        <w:autoSpaceDN w:val="0"/>
        <w:adjustRightInd w:val="0"/>
        <w:spacing w:line="360" w:lineRule="auto"/>
        <w:ind w:left="567"/>
        <w:rPr>
          <w:b/>
          <w:bCs/>
          <w:lang w:eastAsia="en-US"/>
        </w:rPr>
      </w:pPr>
      <w:r>
        <w:rPr>
          <w:lang w:eastAsia="en-US"/>
        </w:rPr>
        <w:t xml:space="preserve">1. Naziv obveznika: </w:t>
      </w:r>
      <w:r>
        <w:rPr>
          <w:b/>
          <w:bCs/>
          <w:lang w:eastAsia="en-US"/>
        </w:rPr>
        <w:t>OPĆINA VLADISLAVCI</w:t>
      </w:r>
    </w:p>
    <w:p w:rsidR="007B6C3F" w:rsidRDefault="007B6C3F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2. Sjedište obveznika: 31 404 VLADISLAVCI</w:t>
      </w:r>
    </w:p>
    <w:p w:rsidR="007B6C3F" w:rsidRDefault="007B6C3F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 xml:space="preserve">3. Adresa sjedišta: </w:t>
      </w:r>
      <w:r>
        <w:t>Kralja Tomislava 141</w:t>
      </w:r>
    </w:p>
    <w:p w:rsidR="007B6C3F" w:rsidRDefault="007B6C3F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4. Šifra općine: 579</w:t>
      </w:r>
    </w:p>
    <w:p w:rsidR="007B6C3F" w:rsidRDefault="007B6C3F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5. Broj RKP-a: 37033</w:t>
      </w:r>
    </w:p>
    <w:p w:rsidR="007B6C3F" w:rsidRDefault="007B6C3F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6. Matični broj: 02548593</w:t>
      </w:r>
    </w:p>
    <w:p w:rsidR="007B6C3F" w:rsidRDefault="007B6C3F" w:rsidP="00EE0718">
      <w:pPr>
        <w:autoSpaceDE w:val="0"/>
        <w:autoSpaceDN w:val="0"/>
        <w:adjustRightInd w:val="0"/>
        <w:spacing w:line="360" w:lineRule="auto"/>
        <w:ind w:left="567"/>
      </w:pPr>
      <w:r>
        <w:rPr>
          <w:lang w:eastAsia="en-US"/>
        </w:rPr>
        <w:t xml:space="preserve">7. OIB: </w:t>
      </w:r>
      <w:r>
        <w:t>17797796502</w:t>
      </w:r>
    </w:p>
    <w:p w:rsidR="007B6C3F" w:rsidRDefault="007B6C3F" w:rsidP="00776780">
      <w:pPr>
        <w:shd w:val="clear" w:color="auto" w:fill="9CC2E5"/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8. Razina: 22</w:t>
      </w:r>
    </w:p>
    <w:p w:rsidR="007B6C3F" w:rsidRDefault="007B6C3F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9. Razdjel: 000</w:t>
      </w:r>
    </w:p>
    <w:p w:rsidR="007B6C3F" w:rsidRDefault="007B6C3F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10. Šifra djelatnosti - NKD 2007: 8411</w:t>
      </w:r>
    </w:p>
    <w:p w:rsidR="007B6C3F" w:rsidRDefault="007B6C3F" w:rsidP="00E9027E">
      <w:pPr>
        <w:spacing w:line="360" w:lineRule="auto"/>
        <w:ind w:left="567"/>
        <w:rPr>
          <w:b/>
          <w:bCs/>
          <w:lang w:eastAsia="en-US"/>
        </w:rPr>
      </w:pPr>
      <w:r>
        <w:rPr>
          <w:lang w:eastAsia="en-US"/>
        </w:rPr>
        <w:t>11. Razdoblje</w:t>
      </w:r>
      <w:r>
        <w:rPr>
          <w:b/>
          <w:bCs/>
          <w:lang w:eastAsia="en-US"/>
        </w:rPr>
        <w:t xml:space="preserve">: 01. 01. </w:t>
      </w:r>
      <w:r>
        <w:rPr>
          <w:rFonts w:ascii="Times New Roman,Bold" w:hAnsi="Times New Roman,Bold" w:cs="Times New Roman,Bold"/>
          <w:b/>
          <w:bCs/>
          <w:lang w:eastAsia="en-US"/>
        </w:rPr>
        <w:t xml:space="preserve">– </w:t>
      </w:r>
      <w:r>
        <w:rPr>
          <w:b/>
          <w:bCs/>
          <w:lang w:eastAsia="en-US"/>
        </w:rPr>
        <w:t>31. 12. 2018. godine</w:t>
      </w:r>
    </w:p>
    <w:p w:rsidR="007B6C3F" w:rsidRDefault="007B6C3F" w:rsidP="00E9027E">
      <w:pPr>
        <w:spacing w:line="360" w:lineRule="auto"/>
        <w:ind w:left="567"/>
        <w:rPr>
          <w:b/>
          <w:bCs/>
          <w:lang w:eastAsia="en-US"/>
        </w:rPr>
      </w:pPr>
    </w:p>
    <w:p w:rsidR="007B6C3F" w:rsidRDefault="007B6C3F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9027E">
        <w:rPr>
          <w:b/>
          <w:bCs/>
          <w:lang w:eastAsia="en-US"/>
        </w:rPr>
        <w:t>Popis zakonskih i podzakonskih akata koji se izravno odnose na financijsko izvještavanje:</w:t>
      </w:r>
    </w:p>
    <w:p w:rsidR="007B6C3F" w:rsidRPr="00E9027E" w:rsidRDefault="007B6C3F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B6C3F" w:rsidRDefault="007B6C3F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9027E">
        <w:rPr>
          <w:lang w:eastAsia="en-US"/>
        </w:rPr>
        <w:t>Zakon o proračunu</w:t>
      </w:r>
    </w:p>
    <w:p w:rsidR="007B6C3F" w:rsidRDefault="007B6C3F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9027E">
        <w:rPr>
          <w:lang w:eastAsia="en-US"/>
        </w:rPr>
        <w:t>Zakon o izvršavanju Državnog pror</w:t>
      </w:r>
      <w:r>
        <w:rPr>
          <w:lang w:eastAsia="en-US"/>
        </w:rPr>
        <w:t>ačuna Republike Hrvatske za 2018</w:t>
      </w:r>
      <w:r w:rsidRPr="00E9027E">
        <w:rPr>
          <w:lang w:eastAsia="en-US"/>
        </w:rPr>
        <w:t>. godinu,</w:t>
      </w:r>
    </w:p>
    <w:p w:rsidR="007B6C3F" w:rsidRDefault="007B6C3F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9027E">
        <w:rPr>
          <w:lang w:eastAsia="en-US"/>
        </w:rPr>
        <w:t>Pravilnik o proračunskom računovodstvu i računskom planu,</w:t>
      </w:r>
    </w:p>
    <w:p w:rsidR="007B6C3F" w:rsidRPr="00E9027E" w:rsidRDefault="007B6C3F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9027E">
        <w:rPr>
          <w:lang w:eastAsia="en-US"/>
        </w:rPr>
        <w:t>Pravilnik o financijskom izvještavanju u proračunskom računovodstvu</w:t>
      </w:r>
      <w:r>
        <w:rPr>
          <w:lang w:eastAsia="en-US"/>
        </w:rPr>
        <w:t>.</w:t>
      </w:r>
    </w:p>
    <w:p w:rsidR="007B6C3F" w:rsidRDefault="007B6C3F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B6C3F" w:rsidRDefault="007B6C3F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0629F">
        <w:rPr>
          <w:b/>
          <w:bCs/>
          <w:lang w:eastAsia="en-US"/>
        </w:rPr>
        <w:t>Financiranje javnih rashoda izvršeno je na osnovi slijedećih financijsko planskih dokumenata :</w:t>
      </w:r>
    </w:p>
    <w:p w:rsidR="007B6C3F" w:rsidRPr="00B0629F" w:rsidRDefault="007B6C3F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B6C3F" w:rsidRPr="00E34222" w:rsidRDefault="007B6C3F" w:rsidP="00E3422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en-US"/>
        </w:rPr>
      </w:pPr>
      <w:r w:rsidRPr="00E34222">
        <w:rPr>
          <w:lang w:eastAsia="en-US"/>
        </w:rPr>
        <w:t>Proračun Općine Vladislavci za 2018. godinu (Službeni glasnik Općine Vladislavci broj 06/2017),</w:t>
      </w:r>
    </w:p>
    <w:p w:rsidR="007B6C3F" w:rsidRPr="00E34222" w:rsidRDefault="007B6C3F" w:rsidP="00E3422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en-US"/>
        </w:rPr>
      </w:pPr>
      <w:r w:rsidRPr="00E34222">
        <w:rPr>
          <w:lang w:eastAsia="en-US"/>
        </w:rPr>
        <w:t>Odluka o izvršavanju proračuna Općine Vladislavci za 2018. godinu (Službeni glasnik Općine Vladislavci broj 06/2017),</w:t>
      </w:r>
    </w:p>
    <w:p w:rsidR="007B6C3F" w:rsidRPr="00E34222" w:rsidRDefault="007B6C3F" w:rsidP="00E3422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en-US"/>
        </w:rPr>
      </w:pPr>
      <w:r w:rsidRPr="00E34222">
        <w:rPr>
          <w:lang w:eastAsia="en-US"/>
        </w:rPr>
        <w:t>I. Izmjene i dopune Proračuna Općine Vladislavci za 2018. godinu (Službeni glasnik Općine Vladislavci br. 02/2018)</w:t>
      </w:r>
    </w:p>
    <w:p w:rsidR="007B6C3F" w:rsidRPr="00E34222" w:rsidRDefault="007B6C3F" w:rsidP="00E3422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en-US"/>
        </w:rPr>
      </w:pPr>
      <w:r w:rsidRPr="00E34222">
        <w:rPr>
          <w:lang w:eastAsia="en-US"/>
        </w:rPr>
        <w:t>II. Izmjene i dopune Proračuna Općine Vladislavci za 2018. godinu (Službeni glasnik Općine Vladislavci br. 03/2018)</w:t>
      </w:r>
    </w:p>
    <w:p w:rsidR="007B6C3F" w:rsidRDefault="007B6C3F" w:rsidP="00E3422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en-US"/>
        </w:rPr>
      </w:pPr>
      <w:r w:rsidRPr="00E34222">
        <w:rPr>
          <w:lang w:eastAsia="en-US"/>
        </w:rPr>
        <w:t>III. Izmjene i dopune Proračuna Općine Vladislavci za 2018. godinu (Službeni glasnik Općine Vladislavci br. 04/2018)</w:t>
      </w:r>
    </w:p>
    <w:p w:rsidR="007B6C3F" w:rsidRPr="00E34222" w:rsidRDefault="007B6C3F" w:rsidP="00E3422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IV. Izmjene i dopune Proračuna Općine Vladislavci za 2018. godinu (Službeni glasnik Općine Vladislavci br. 10/2018)</w:t>
      </w:r>
    </w:p>
    <w:p w:rsidR="007B6C3F" w:rsidRDefault="007B6C3F" w:rsidP="00B0629F">
      <w:pPr>
        <w:autoSpaceDE w:val="0"/>
        <w:autoSpaceDN w:val="0"/>
        <w:adjustRightInd w:val="0"/>
        <w:ind w:left="360"/>
        <w:jc w:val="both"/>
        <w:rPr>
          <w:b/>
          <w:bCs/>
          <w:lang w:eastAsia="en-US"/>
        </w:rPr>
      </w:pPr>
    </w:p>
    <w:p w:rsidR="007B6C3F" w:rsidRPr="00B0629F" w:rsidRDefault="007B6C3F" w:rsidP="00B0629F">
      <w:pPr>
        <w:autoSpaceDE w:val="0"/>
        <w:autoSpaceDN w:val="0"/>
        <w:adjustRightInd w:val="0"/>
        <w:ind w:left="360"/>
        <w:jc w:val="both"/>
        <w:rPr>
          <w:b/>
          <w:bCs/>
          <w:lang w:eastAsia="en-US"/>
        </w:rPr>
      </w:pPr>
    </w:p>
    <w:p w:rsidR="007B6C3F" w:rsidRDefault="007B6C3F" w:rsidP="00E34222">
      <w:pPr>
        <w:autoSpaceDE w:val="0"/>
        <w:autoSpaceDN w:val="0"/>
        <w:adjustRightInd w:val="0"/>
        <w:jc w:val="both"/>
        <w:rPr>
          <w:lang w:eastAsia="en-US"/>
        </w:rPr>
      </w:pPr>
      <w:r w:rsidRPr="00E34222">
        <w:rPr>
          <w:lang w:eastAsia="en-US"/>
        </w:rPr>
        <w:t>Sukladno Okružnici o sastavljanu i predaji financijskih izvještaja proračuna, proračunskih i izvanproračunskih korisnika državnog proračuna te proračunskih i izvanproračunskih korisnika proračuna jedinica lokalne i područne ( regionalne ) samouprave za razdoblje od 1. siječnja do 3</w:t>
      </w:r>
      <w:r>
        <w:rPr>
          <w:lang w:eastAsia="en-US"/>
        </w:rPr>
        <w:t>1</w:t>
      </w:r>
      <w:r w:rsidRPr="00E34222">
        <w:rPr>
          <w:lang w:eastAsia="en-US"/>
        </w:rPr>
        <w:t xml:space="preserve">. </w:t>
      </w:r>
      <w:r>
        <w:rPr>
          <w:lang w:eastAsia="en-US"/>
        </w:rPr>
        <w:t>prosinca</w:t>
      </w:r>
      <w:r w:rsidRPr="00E34222">
        <w:rPr>
          <w:lang w:eastAsia="en-US"/>
        </w:rPr>
        <w:t xml:space="preserve"> 2018. godine Klasa: 400-02/18-01/44 Urbroj: 513-05-03-1</w:t>
      </w:r>
      <w:r>
        <w:rPr>
          <w:lang w:eastAsia="en-US"/>
        </w:rPr>
        <w:t>9</w:t>
      </w:r>
      <w:r w:rsidRPr="00E34222">
        <w:rPr>
          <w:lang w:eastAsia="en-US"/>
        </w:rPr>
        <w:t xml:space="preserve">-4 od </w:t>
      </w:r>
      <w:r>
        <w:rPr>
          <w:lang w:eastAsia="en-US"/>
        </w:rPr>
        <w:t>15</w:t>
      </w:r>
      <w:r w:rsidRPr="00E34222">
        <w:rPr>
          <w:lang w:eastAsia="en-US"/>
        </w:rPr>
        <w:t xml:space="preserve">. </w:t>
      </w:r>
      <w:r>
        <w:rPr>
          <w:lang w:eastAsia="en-US"/>
        </w:rPr>
        <w:t>siječnja 2019</w:t>
      </w:r>
      <w:r w:rsidRPr="00E34222">
        <w:rPr>
          <w:lang w:eastAsia="en-US"/>
        </w:rPr>
        <w:t>. godine predaje se izvještaj razine 22  u zadanom r</w:t>
      </w:r>
      <w:r>
        <w:rPr>
          <w:lang w:eastAsia="en-US"/>
        </w:rPr>
        <w:t>oku do 15</w:t>
      </w:r>
      <w:r w:rsidRPr="00E34222">
        <w:rPr>
          <w:lang w:eastAsia="en-US"/>
        </w:rPr>
        <w:t xml:space="preserve">. </w:t>
      </w:r>
      <w:r>
        <w:rPr>
          <w:lang w:eastAsia="en-US"/>
        </w:rPr>
        <w:t>veljače 2019</w:t>
      </w:r>
      <w:r w:rsidRPr="00E34222">
        <w:rPr>
          <w:lang w:eastAsia="en-US"/>
        </w:rPr>
        <w:t>. godine.</w:t>
      </w:r>
    </w:p>
    <w:p w:rsidR="007B6C3F" w:rsidRPr="00E34222" w:rsidRDefault="007B6C3F" w:rsidP="00E34222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b/>
          <w:lang w:eastAsia="en-US"/>
        </w:rPr>
      </w:pPr>
      <w:r w:rsidRPr="00B0629F">
        <w:rPr>
          <w:b/>
          <w:lang w:eastAsia="en-US"/>
        </w:rPr>
        <w:t>Sastavljen je set financijskih izvještaja :</w:t>
      </w:r>
    </w:p>
    <w:p w:rsidR="007B6C3F" w:rsidRPr="00B0629F" w:rsidRDefault="007B6C3F" w:rsidP="00B0629F">
      <w:pPr>
        <w:autoSpaceDE w:val="0"/>
        <w:autoSpaceDN w:val="0"/>
        <w:adjustRightInd w:val="0"/>
        <w:rPr>
          <w:b/>
          <w:lang w:eastAsia="en-US"/>
        </w:rPr>
      </w:pPr>
    </w:p>
    <w:p w:rsidR="007B6C3F" w:rsidRDefault="007B6C3F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0629F">
        <w:rPr>
          <w:lang w:eastAsia="en-US"/>
        </w:rPr>
        <w:t>Bilanca na Obrascu: BIL,</w:t>
      </w:r>
    </w:p>
    <w:p w:rsidR="007B6C3F" w:rsidRDefault="007B6C3F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0629F">
        <w:rPr>
          <w:lang w:eastAsia="en-US"/>
        </w:rPr>
        <w:t>Izvještaj o prihodima i rashodima, primicima i izdacima na Obrascu: PR-RAS,</w:t>
      </w:r>
    </w:p>
    <w:p w:rsidR="007B6C3F" w:rsidRDefault="007B6C3F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0629F">
        <w:rPr>
          <w:lang w:eastAsia="en-US"/>
        </w:rPr>
        <w:t>Izvještaj o rashodima prema funkcijskoj klasifikaciji na Obrascu: RAS-funkcijski,</w:t>
      </w:r>
    </w:p>
    <w:p w:rsidR="007B6C3F" w:rsidRDefault="007B6C3F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0629F">
        <w:rPr>
          <w:lang w:eastAsia="en-US"/>
        </w:rPr>
        <w:t>Izvještaj o promjenama u vrijednosti i obujmu imovine i obveza na Obrascu: P-VRIO,</w:t>
      </w:r>
    </w:p>
    <w:p w:rsidR="007B6C3F" w:rsidRDefault="007B6C3F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0629F">
        <w:rPr>
          <w:lang w:eastAsia="en-US"/>
        </w:rPr>
        <w:t>Izvještaj o obvezama na Obrascu: OBVEZE.</w:t>
      </w: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Default="007B6C3F" w:rsidP="00B0629F">
      <w:pPr>
        <w:autoSpaceDE w:val="0"/>
        <w:autoSpaceDN w:val="0"/>
        <w:adjustRightInd w:val="0"/>
        <w:rPr>
          <w:lang w:eastAsia="en-US"/>
        </w:rPr>
      </w:pPr>
    </w:p>
    <w:p w:rsidR="007B6C3F" w:rsidRPr="00B0629F" w:rsidRDefault="007B6C3F" w:rsidP="00B0629F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0629F">
        <w:rPr>
          <w:b/>
          <w:bCs/>
          <w:lang w:eastAsia="en-US"/>
        </w:rPr>
        <w:t xml:space="preserve">II. BILJEŠKE UZ </w:t>
      </w:r>
      <w:r>
        <w:rPr>
          <w:b/>
          <w:bCs/>
          <w:lang w:eastAsia="en-US"/>
        </w:rPr>
        <w:t>OBRAZAC BIL</w:t>
      </w:r>
    </w:p>
    <w:p w:rsidR="007B6C3F" w:rsidRDefault="007B6C3F" w:rsidP="00EE071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7B6C3F" w:rsidRPr="00B0629F" w:rsidRDefault="007B6C3F" w:rsidP="00B0629F">
      <w:pPr>
        <w:autoSpaceDE w:val="0"/>
        <w:autoSpaceDN w:val="0"/>
        <w:adjustRightInd w:val="0"/>
        <w:jc w:val="both"/>
        <w:rPr>
          <w:lang w:eastAsia="en-US"/>
        </w:rPr>
      </w:pPr>
      <w:r w:rsidRPr="00B0629F">
        <w:rPr>
          <w:lang w:eastAsia="en-US"/>
        </w:rPr>
        <w:t>U Bilancu su uneseni podaci iz Glavne knjige. Jednakosti među pojedinim pozicijama Bilance proizlaze iz</w:t>
      </w:r>
      <w:r>
        <w:rPr>
          <w:lang w:eastAsia="en-US"/>
        </w:rPr>
        <w:t xml:space="preserve"> </w:t>
      </w:r>
      <w:r w:rsidRPr="00B0629F">
        <w:rPr>
          <w:lang w:eastAsia="en-US"/>
        </w:rPr>
        <w:t xml:space="preserve">propisanih knjigovodstvenih evidencija </w:t>
      </w:r>
      <w:r>
        <w:rPr>
          <w:lang w:eastAsia="en-US"/>
        </w:rPr>
        <w:t>tako da AOP 001 Imovina = AOP 1</w:t>
      </w:r>
      <w:r w:rsidRPr="00B0629F">
        <w:rPr>
          <w:lang w:eastAsia="en-US"/>
        </w:rPr>
        <w:t>6</w:t>
      </w:r>
      <w:r>
        <w:rPr>
          <w:lang w:eastAsia="en-US"/>
        </w:rPr>
        <w:t>2</w:t>
      </w:r>
      <w:r w:rsidRPr="00B0629F">
        <w:rPr>
          <w:lang w:eastAsia="en-US"/>
        </w:rPr>
        <w:t xml:space="preserve"> Obveze + Vlastiti izvori.</w:t>
      </w:r>
    </w:p>
    <w:p w:rsidR="007B6C3F" w:rsidRDefault="007B6C3F" w:rsidP="00EE0718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EE071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Za ispravak vrijednosti dugotrajne imovine korištene su stope propisane prema važećem Pravilniku o računovodstvu i računskom planu za proračune.</w:t>
      </w:r>
    </w:p>
    <w:p w:rsidR="007B6C3F" w:rsidRDefault="007B6C3F" w:rsidP="00EE0718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1A4BCD">
      <w:pPr>
        <w:autoSpaceDE w:val="0"/>
        <w:autoSpaceDN w:val="0"/>
        <w:adjustRightInd w:val="0"/>
        <w:jc w:val="both"/>
        <w:rPr>
          <w:lang w:eastAsia="en-US"/>
        </w:rPr>
      </w:pPr>
      <w:r w:rsidRPr="001A4BCD">
        <w:rPr>
          <w:b/>
          <w:i/>
          <w:lang w:eastAsia="en-US"/>
        </w:rPr>
        <w:t>Bilješka uz AOP 002 Nefinancijska imovina</w:t>
      </w:r>
      <w:r>
        <w:rPr>
          <w:lang w:eastAsia="en-US"/>
        </w:rPr>
        <w:t xml:space="preserve">: nefinancijska imovina u izvještajnom razdoblju veća je za 14,7 % u odnosu na izvještajno razdoblje prethodne godine, odnosno prikazana vrijednost na AOP 002 na dan 31. prosinca iznosi 22.903.545,00 kn. </w:t>
      </w:r>
    </w:p>
    <w:p w:rsidR="007B6C3F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A36BA4">
      <w:pPr>
        <w:autoSpaceDE w:val="0"/>
        <w:autoSpaceDN w:val="0"/>
        <w:adjustRightInd w:val="0"/>
        <w:jc w:val="both"/>
        <w:rPr>
          <w:lang w:eastAsia="en-US"/>
        </w:rPr>
      </w:pPr>
      <w:r w:rsidRPr="001A4BCD">
        <w:rPr>
          <w:b/>
          <w:i/>
          <w:lang w:eastAsia="en-US"/>
        </w:rPr>
        <w:t>Bilješka uz AOP 00</w:t>
      </w:r>
      <w:r>
        <w:rPr>
          <w:b/>
          <w:i/>
          <w:lang w:eastAsia="en-US"/>
        </w:rPr>
        <w:t xml:space="preserve">4  </w:t>
      </w:r>
      <w:r>
        <w:rPr>
          <w:lang w:eastAsia="en-US"/>
        </w:rPr>
        <w:t>je ostao nepromijenjen u odnosu na izvještajno razdoblje prošle godine.</w:t>
      </w:r>
    </w:p>
    <w:p w:rsidR="007B6C3F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CA460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B6C3F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  <w:r w:rsidRPr="001A4BCD">
        <w:rPr>
          <w:b/>
          <w:i/>
          <w:lang w:eastAsia="en-US"/>
        </w:rPr>
        <w:t>Bilješka uz AOP 00</w:t>
      </w:r>
      <w:r>
        <w:rPr>
          <w:b/>
          <w:i/>
          <w:lang w:eastAsia="en-US"/>
        </w:rPr>
        <w:t>7:</w:t>
      </w:r>
      <w:r w:rsidRPr="001A4BCD">
        <w:rPr>
          <w:b/>
          <w:i/>
          <w:lang w:eastAsia="en-US"/>
        </w:rPr>
        <w:t xml:space="preserve"> </w:t>
      </w:r>
      <w:r>
        <w:rPr>
          <w:lang w:eastAsia="en-US"/>
        </w:rPr>
        <w:t>Tokom izvještajnog razdoblja nije bilo vrijednosno značajnijih promjene u okviru skupine proizvedene dugotrajne imovine. Navedeni AOP bilježi blagi pad u odnosu na prethodno izvještajno razdoblje i to za 2,5 %..</w:t>
      </w:r>
    </w:p>
    <w:p w:rsidR="007B6C3F" w:rsidRDefault="007B6C3F" w:rsidP="00CA460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B6C3F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i/>
          <w:lang w:eastAsia="en-US"/>
        </w:rPr>
        <w:t>Bilješka uz AOP 009</w:t>
      </w:r>
      <w:r w:rsidRPr="00F5422D">
        <w:rPr>
          <w:b/>
          <w:i/>
          <w:lang w:eastAsia="en-US"/>
        </w:rPr>
        <w:t xml:space="preserve">: </w:t>
      </w:r>
      <w:r>
        <w:rPr>
          <w:lang w:eastAsia="en-US"/>
        </w:rPr>
        <w:t>AOP 009</w:t>
      </w:r>
      <w:r w:rsidRPr="00F5422D">
        <w:rPr>
          <w:lang w:eastAsia="en-US"/>
        </w:rPr>
        <w:t xml:space="preserve"> </w:t>
      </w:r>
      <w:r>
        <w:rPr>
          <w:lang w:eastAsia="en-US"/>
        </w:rPr>
        <w:t>je ostao nepromijenjen u odnosu na izvještajno razdoblje prošle godine.</w:t>
      </w:r>
    </w:p>
    <w:p w:rsidR="007B6C3F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B52886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  <w:r w:rsidRPr="00F5422D">
        <w:rPr>
          <w:b/>
          <w:i/>
          <w:lang w:eastAsia="en-US"/>
        </w:rPr>
        <w:t xml:space="preserve">Bilješka uz AOP 010: </w:t>
      </w:r>
      <w:r w:rsidRPr="008C117A">
        <w:rPr>
          <w:lang w:eastAsia="en-US"/>
        </w:rPr>
        <w:t>Navedeni AOP</w:t>
      </w:r>
      <w:r>
        <w:rPr>
          <w:lang w:eastAsia="en-US"/>
        </w:rPr>
        <w:t xml:space="preserve"> ostao je u granicama prošlogodišnjeg izvještaja te je ostvaren u iznosu od 9.198.601,00 kn.</w:t>
      </w:r>
    </w:p>
    <w:p w:rsidR="007B6C3F" w:rsidRPr="0088590A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i/>
          <w:lang w:eastAsia="en-US"/>
        </w:rPr>
        <w:t>Bilješka uz AOP 063</w:t>
      </w:r>
      <w:r w:rsidRPr="001A4BCD">
        <w:rPr>
          <w:b/>
          <w:i/>
          <w:lang w:eastAsia="en-US"/>
        </w:rPr>
        <w:t xml:space="preserve"> </w:t>
      </w:r>
      <w:r>
        <w:rPr>
          <w:b/>
          <w:i/>
          <w:lang w:eastAsia="en-US"/>
        </w:rPr>
        <w:t>F</w:t>
      </w:r>
      <w:r w:rsidRPr="001A4BCD">
        <w:rPr>
          <w:b/>
          <w:i/>
          <w:lang w:eastAsia="en-US"/>
        </w:rPr>
        <w:t>inancijska imovina</w:t>
      </w:r>
      <w:r>
        <w:rPr>
          <w:lang w:eastAsia="en-US"/>
        </w:rPr>
        <w:t xml:space="preserve">: stanje na poziciji AOP 063 na dan 31. prosinca 2018. godine prikazuje rast 7,8 % u odnosu na stanje na dan 1. siječnja 2018. godine. </w:t>
      </w:r>
    </w:p>
    <w:p w:rsidR="007B6C3F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i/>
          <w:lang w:eastAsia="en-US"/>
        </w:rPr>
        <w:t xml:space="preserve">Bilješka uz AOP 064: Novac u banci  </w:t>
      </w:r>
      <w:r>
        <w:rPr>
          <w:lang w:eastAsia="en-US"/>
        </w:rPr>
        <w:t>iz kojeg je vidljivo da su novčana sredstva na kraju izvještajne godine veća  u odnosu na početak godine za 294,6 %.  Novčana sredstva u banci i blagajni iznose 2.399.123,00 kn i odgovaraju stanju prema izvodu žiro računa i saldu blagajne na  dan 31. prosinca 2018. godine.</w:t>
      </w:r>
    </w:p>
    <w:p w:rsidR="007B6C3F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CA460E">
      <w:pPr>
        <w:autoSpaceDE w:val="0"/>
        <w:autoSpaceDN w:val="0"/>
        <w:adjustRightInd w:val="0"/>
        <w:jc w:val="both"/>
        <w:rPr>
          <w:lang w:eastAsia="en-US"/>
        </w:rPr>
      </w:pPr>
      <w:r w:rsidRPr="003D57F8">
        <w:rPr>
          <w:b/>
          <w:i/>
          <w:lang w:eastAsia="en-US"/>
        </w:rPr>
        <w:t xml:space="preserve">Bilješka uz AOP 140:  </w:t>
      </w:r>
      <w:r w:rsidRPr="003D57F8">
        <w:rPr>
          <w:lang w:eastAsia="en-US"/>
        </w:rPr>
        <w:t xml:space="preserve">AOP 140 prikazuje </w:t>
      </w:r>
      <w:r>
        <w:rPr>
          <w:lang w:eastAsia="en-US"/>
        </w:rPr>
        <w:t>smanjenje</w:t>
      </w:r>
      <w:r w:rsidRPr="003D57F8">
        <w:rPr>
          <w:lang w:eastAsia="en-US"/>
        </w:rPr>
        <w:t xml:space="preserve"> potraživanja za prihode poslovanja za </w:t>
      </w:r>
      <w:r>
        <w:rPr>
          <w:lang w:eastAsia="en-US"/>
        </w:rPr>
        <w:t>39,9</w:t>
      </w:r>
      <w:r w:rsidRPr="003D57F8">
        <w:rPr>
          <w:lang w:eastAsia="en-US"/>
        </w:rPr>
        <w:t xml:space="preserve"> % u odnosu na p</w:t>
      </w:r>
      <w:r>
        <w:rPr>
          <w:lang w:eastAsia="en-US"/>
        </w:rPr>
        <w:t>rethodno izvještajno razdoblje koji su nastali zbog naplate dugovanja iz prethodnih godina za komunalnu i grobnu naknadu.</w:t>
      </w:r>
    </w:p>
    <w:p w:rsidR="007B6C3F" w:rsidRDefault="007B6C3F" w:rsidP="00EE0718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EE071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i/>
          <w:lang w:eastAsia="en-US"/>
        </w:rPr>
        <w:t>Bilješka uz AOP 163</w:t>
      </w:r>
      <w:r w:rsidRPr="001A4BCD">
        <w:rPr>
          <w:b/>
          <w:i/>
          <w:lang w:eastAsia="en-US"/>
        </w:rPr>
        <w:t xml:space="preserve"> </w:t>
      </w:r>
      <w:r>
        <w:rPr>
          <w:b/>
          <w:i/>
          <w:lang w:eastAsia="en-US"/>
        </w:rPr>
        <w:t xml:space="preserve">Obveze: </w:t>
      </w:r>
      <w:r>
        <w:rPr>
          <w:lang w:eastAsia="en-US"/>
        </w:rPr>
        <w:t xml:space="preserve">stanje pozicije AOP 163 prikazuje povećanje obveza za 264,3 % u odnosu na dan 01. siječnja 2018. godine. Stanje obveza na dan 31. prosinca 2018. godine </w:t>
      </w:r>
      <w:r w:rsidRPr="00DD4B37">
        <w:rPr>
          <w:lang w:eastAsia="en-US"/>
        </w:rPr>
        <w:t xml:space="preserve">iznosi </w:t>
      </w:r>
      <w:r>
        <w:rPr>
          <w:lang w:eastAsia="en-US"/>
        </w:rPr>
        <w:t>2.840.717,00</w:t>
      </w:r>
      <w:r w:rsidRPr="00DD4B37">
        <w:rPr>
          <w:lang w:eastAsia="en-US"/>
        </w:rPr>
        <w:t xml:space="preserve"> kn. Iznos od </w:t>
      </w:r>
      <w:r>
        <w:rPr>
          <w:lang w:eastAsia="en-US"/>
        </w:rPr>
        <w:t>1.000.983,00</w:t>
      </w:r>
      <w:r w:rsidRPr="00DD4B37">
        <w:rPr>
          <w:lang w:eastAsia="en-US"/>
        </w:rPr>
        <w:t xml:space="preserve"> kn odnosi se na nedospjele obveze po osnovi rashoda za zaposlene i </w:t>
      </w:r>
      <w:r>
        <w:rPr>
          <w:lang w:eastAsia="en-US"/>
        </w:rPr>
        <w:t>materijalnih rashoda poslovanja te obveze za EU predujmove za program Zaželi bolji život u Općini Vladislavci.</w:t>
      </w:r>
      <w:r w:rsidRPr="00DD4B37">
        <w:rPr>
          <w:lang w:eastAsia="en-US"/>
        </w:rPr>
        <w:t xml:space="preserve"> Iznos od </w:t>
      </w:r>
      <w:r>
        <w:rPr>
          <w:lang w:eastAsia="en-US"/>
        </w:rPr>
        <w:t>1.339.469,00</w:t>
      </w:r>
      <w:r w:rsidRPr="00DD4B37">
        <w:rPr>
          <w:lang w:eastAsia="en-US"/>
        </w:rPr>
        <w:t xml:space="preserve"> kn odnosi se na dospjele obveze.</w:t>
      </w:r>
      <w:r>
        <w:rPr>
          <w:lang w:eastAsia="en-US"/>
        </w:rPr>
        <w:t xml:space="preserve"> Najveći iznos dospjelih obveza odnosi se na izgradnju reciklažnog dvorišta i rekonstrukciju nerazvrstane ceste u Hrastinu. Jedan dio obveza je već podmiren početkom 2019.g.</w:t>
      </w:r>
    </w:p>
    <w:p w:rsidR="007B6C3F" w:rsidRDefault="007B6C3F" w:rsidP="00EE0718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EE0718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8E580C" w:rsidRDefault="007B6C3F" w:rsidP="00EE0718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8E580C">
        <w:rPr>
          <w:b/>
          <w:i/>
          <w:lang w:eastAsia="en-US"/>
        </w:rPr>
        <w:t xml:space="preserve">Bilješka uz AOP 233 i 237 Rezultat poslovanja: </w:t>
      </w:r>
    </w:p>
    <w:p w:rsidR="007B6C3F" w:rsidRPr="008E580C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  <w:r w:rsidRPr="008E580C">
        <w:rPr>
          <w:lang w:eastAsia="en-US"/>
        </w:rPr>
        <w:t xml:space="preserve">Na kraju izvještajnog razdoblja ostvaren je višak prihoda poslovanja u iznosu od </w:t>
      </w:r>
      <w:r>
        <w:rPr>
          <w:lang w:eastAsia="en-US"/>
        </w:rPr>
        <w:t xml:space="preserve"> 2.925.988,40</w:t>
      </w:r>
      <w:r w:rsidRPr="008E580C">
        <w:rPr>
          <w:lang w:eastAsia="en-US"/>
        </w:rPr>
        <w:t xml:space="preserve"> kn koji pribrojen s prenesenim viškom iz 201</w:t>
      </w:r>
      <w:r>
        <w:rPr>
          <w:lang w:eastAsia="en-US"/>
        </w:rPr>
        <w:t>7</w:t>
      </w:r>
      <w:r w:rsidRPr="008E580C">
        <w:rPr>
          <w:lang w:eastAsia="en-US"/>
        </w:rPr>
        <w:t xml:space="preserve">. godine u iznosu od </w:t>
      </w:r>
      <w:r>
        <w:rPr>
          <w:lang w:eastAsia="en-US"/>
        </w:rPr>
        <w:t>7.190.815,00</w:t>
      </w:r>
      <w:r w:rsidRPr="008E580C">
        <w:rPr>
          <w:lang w:eastAsia="en-US"/>
        </w:rPr>
        <w:t xml:space="preserve"> kn</w:t>
      </w:r>
      <w:r>
        <w:rPr>
          <w:lang w:eastAsia="en-US"/>
        </w:rPr>
        <w:t xml:space="preserve"> iznosi ukupno 10.116.803,00 kn. Nakon toga izvršena je korekcija za realizirane kapitalne pomoći u iznosu od 1.244.314,01 kn te višak prihoda poslovanja iznosi</w:t>
      </w:r>
      <w:r w:rsidRPr="008E580C">
        <w:rPr>
          <w:lang w:eastAsia="en-US"/>
        </w:rPr>
        <w:t xml:space="preserve"> od </w:t>
      </w:r>
      <w:r>
        <w:rPr>
          <w:lang w:eastAsia="en-US"/>
        </w:rPr>
        <w:t>8.872.491,00</w:t>
      </w:r>
      <w:r w:rsidRPr="008E580C">
        <w:rPr>
          <w:lang w:eastAsia="en-US"/>
        </w:rPr>
        <w:t xml:space="preserve"> kn. </w:t>
      </w:r>
    </w:p>
    <w:p w:rsidR="007B6C3F" w:rsidRDefault="007B6C3F" w:rsidP="00B450AD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  <w:r w:rsidRPr="00555650">
        <w:rPr>
          <w:lang w:eastAsia="en-US"/>
        </w:rPr>
        <w:t xml:space="preserve">Na kraju izvještajnog razdoblja ostvaren je </w:t>
      </w:r>
      <w:r>
        <w:rPr>
          <w:lang w:eastAsia="en-US"/>
        </w:rPr>
        <w:t>manjak</w:t>
      </w:r>
      <w:r w:rsidRPr="00555650">
        <w:rPr>
          <w:lang w:eastAsia="en-US"/>
        </w:rPr>
        <w:t xml:space="preserve"> prihoda od nefinacijske imovine u iznosu od </w:t>
      </w:r>
      <w:r>
        <w:rPr>
          <w:lang w:eastAsia="en-US"/>
        </w:rPr>
        <w:t xml:space="preserve">3.166.432,68 </w:t>
      </w:r>
      <w:r w:rsidRPr="00555650">
        <w:rPr>
          <w:lang w:eastAsia="en-US"/>
        </w:rPr>
        <w:t>kn koji pribrojen s prenesenim manjkom iz 201</w:t>
      </w:r>
      <w:r>
        <w:rPr>
          <w:lang w:eastAsia="en-US"/>
        </w:rPr>
        <w:t>7</w:t>
      </w:r>
      <w:r w:rsidRPr="00555650">
        <w:rPr>
          <w:lang w:eastAsia="en-US"/>
        </w:rPr>
        <w:t xml:space="preserve">. godine u iznosu od </w:t>
      </w:r>
      <w:r>
        <w:rPr>
          <w:lang w:eastAsia="en-US"/>
        </w:rPr>
        <w:t>7.412.018,00</w:t>
      </w:r>
      <w:r w:rsidRPr="00555650">
        <w:rPr>
          <w:lang w:eastAsia="en-US"/>
        </w:rPr>
        <w:t xml:space="preserve"> kn daje </w:t>
      </w:r>
      <w:r>
        <w:rPr>
          <w:lang w:eastAsia="en-US"/>
        </w:rPr>
        <w:t xml:space="preserve">iznos manjka od 10.578.450,00 kn. Nakon toga  izvršena je  korekcija za realizirane kapitalne pomoći u iznosu od 1.244.314,01 kn  te sada manjak prihoda od nefinancijske imovine  iznosi </w:t>
      </w:r>
      <w:r w:rsidRPr="00555650">
        <w:rPr>
          <w:lang w:eastAsia="en-US"/>
        </w:rPr>
        <w:t xml:space="preserve"> </w:t>
      </w:r>
      <w:r>
        <w:rPr>
          <w:lang w:eastAsia="en-US"/>
        </w:rPr>
        <w:t>9.334.137</w:t>
      </w:r>
      <w:r w:rsidRPr="00555650">
        <w:rPr>
          <w:lang w:eastAsia="en-US"/>
        </w:rPr>
        <w:t xml:space="preserve"> kn. </w:t>
      </w: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9E02F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Nakon utvrđivanja rezultata izvršena je korekcija za kapitalne pomoći realiziranih iz državnog i županijskih proračuna, i to u iznosu od 1.244.314,01</w:t>
      </w:r>
      <w:r w:rsidRPr="00E96350">
        <w:rPr>
          <w:lang w:eastAsia="en-US"/>
        </w:rPr>
        <w:t xml:space="preserve"> </w:t>
      </w:r>
      <w:r>
        <w:rPr>
          <w:lang w:eastAsia="en-US"/>
        </w:rPr>
        <w:t>kn.</w:t>
      </w: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555650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U izvještajnom razdoblju </w:t>
      </w:r>
      <w:r w:rsidRPr="006764A2">
        <w:rPr>
          <w:lang w:eastAsia="en-US"/>
        </w:rPr>
        <w:t>Općina se nije zaduživala kod kreditnih institucija i drugih pravnih subjekata</w:t>
      </w:r>
      <w:r>
        <w:rPr>
          <w:lang w:eastAsia="en-US"/>
        </w:rPr>
        <w:t xml:space="preserve"> te iz tog razloga nije bilo promjena po osnovi financijske imovine niti prijenosa rezultata iz prijašnjeg razdoblja.</w:t>
      </w:r>
    </w:p>
    <w:p w:rsidR="007B6C3F" w:rsidRDefault="007B6C3F" w:rsidP="004B5D07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4B5D07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77201A" w:rsidRDefault="007B6C3F" w:rsidP="004B5D07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566431">
      <w:pPr>
        <w:sectPr w:rsidR="007B6C3F" w:rsidSect="00A342D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RANGE!A1:J27"/>
      <w:bookmarkEnd w:id="0"/>
    </w:p>
    <w:p w:rsidR="007B6C3F" w:rsidRDefault="007B6C3F" w:rsidP="00A45F8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1A4BCD">
        <w:rPr>
          <w:b/>
          <w:bCs/>
          <w:lang w:eastAsia="en-US"/>
        </w:rPr>
        <w:t>III. BILJEŠKE UZ IZVJEŠTAJ O PRIHODIMA I RASHODIMA, PRIMICIMA I</w:t>
      </w:r>
      <w:r>
        <w:rPr>
          <w:b/>
          <w:bCs/>
          <w:lang w:eastAsia="en-US"/>
        </w:rPr>
        <w:t xml:space="preserve"> </w:t>
      </w:r>
      <w:r w:rsidRPr="001A4BCD">
        <w:rPr>
          <w:b/>
          <w:bCs/>
          <w:lang w:eastAsia="en-US"/>
        </w:rPr>
        <w:t>IZDACIM</w:t>
      </w:r>
      <w:r>
        <w:rPr>
          <w:b/>
          <w:bCs/>
          <w:lang w:eastAsia="en-US"/>
        </w:rPr>
        <w:t>A</w:t>
      </w:r>
      <w:r w:rsidRPr="001A4BCD">
        <w:rPr>
          <w:b/>
          <w:bCs/>
          <w:lang w:eastAsia="en-US"/>
        </w:rPr>
        <w:t xml:space="preserve"> (PR-RAS)</w:t>
      </w: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Najveći udio prihoda poslovanja u 2018. godini čine prihodi  od poreza u iznosu od 3.495.592,00 kn te  pomoći unutar općeg proračuna i to u iznosu od 2.631.190,00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lang w:eastAsia="en-US"/>
        </w:rPr>
        <w:t>kn.</w:t>
      </w: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5E3718" w:rsidRDefault="007B6C3F" w:rsidP="00413CC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Bilješke uz AOP 002</w:t>
      </w:r>
      <w:r w:rsidRPr="005E3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E3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Prihodi od poreza ostvareni su u iznosu od 3.495.592,00 kn. Prihodi od poreza bilježe rast za 268,10 % u odnosu na prethodno izvještajno razdoblje. Razlog povećanja poreznih prihoda je novi raspored sredstava za fiskalno izravnanje koji su uprihodovane u iznosu od 2.476.784,82 kn.</w:t>
      </w:r>
    </w:p>
    <w:p w:rsidR="007B6C3F" w:rsidRDefault="007B6C3F" w:rsidP="00413CC9">
      <w:pPr>
        <w:jc w:val="both"/>
        <w:rPr>
          <w:lang w:eastAsia="en-US"/>
        </w:rPr>
      </w:pPr>
    </w:p>
    <w:p w:rsidR="007B6C3F" w:rsidRDefault="007B6C3F" w:rsidP="00413CC9">
      <w:pPr>
        <w:jc w:val="both"/>
      </w:pPr>
      <w:r w:rsidRPr="00FB0850">
        <w:rPr>
          <w:b/>
          <w:i/>
        </w:rPr>
        <w:t xml:space="preserve">Bilješke uz AOP </w:t>
      </w:r>
      <w:r>
        <w:rPr>
          <w:b/>
          <w:i/>
        </w:rPr>
        <w:t>045</w:t>
      </w:r>
      <w:r w:rsidRPr="00FB0850">
        <w:rPr>
          <w:b/>
          <w:i/>
        </w:rPr>
        <w:t xml:space="preserve"> </w:t>
      </w:r>
      <w:r w:rsidRPr="00FB0850">
        <w:t>–</w:t>
      </w:r>
      <w:r>
        <w:t xml:space="preserve"> Pomoći iz inozemstva i od subjekata unutar općeg ostvareni su u iznosu od 2.631.190,00 kn.</w:t>
      </w:r>
    </w:p>
    <w:p w:rsidR="007B6C3F" w:rsidRDefault="007B6C3F" w:rsidP="00413CC9">
      <w:pPr>
        <w:jc w:val="both"/>
      </w:pPr>
    </w:p>
    <w:p w:rsidR="007B6C3F" w:rsidRPr="00665176" w:rsidRDefault="007B6C3F" w:rsidP="00413CC9">
      <w:pPr>
        <w:jc w:val="both"/>
      </w:pPr>
      <w:r w:rsidRPr="00FB0850">
        <w:rPr>
          <w:b/>
          <w:i/>
        </w:rPr>
        <w:t xml:space="preserve">Bilješke uz AOP </w:t>
      </w:r>
      <w:r>
        <w:rPr>
          <w:b/>
          <w:i/>
        </w:rPr>
        <w:t>074</w:t>
      </w:r>
      <w:r w:rsidRPr="00FB0850">
        <w:rPr>
          <w:b/>
          <w:i/>
        </w:rPr>
        <w:t xml:space="preserve"> </w:t>
      </w:r>
      <w:r w:rsidRPr="00FB0850">
        <w:t xml:space="preserve">– </w:t>
      </w:r>
      <w:r>
        <w:t xml:space="preserve">Prihodi od imovine ostvareni su u iznosu od 459.433,00 kn te bilježe rast od 22,3 % u odnosu na izvještajno razdoblje prošle godine. Razlog povećanja prihoda je </w:t>
      </w:r>
      <w:r w:rsidRPr="00665176">
        <w:t>što</w:t>
      </w:r>
      <w:r>
        <w:t xml:space="preserve"> je </w:t>
      </w:r>
      <w:r w:rsidRPr="00665176">
        <w:t xml:space="preserve"> pravna osoba platila naknadu za koncesiju koja je bila dospjela na naplatu 31.12.2017. godine.</w:t>
      </w:r>
    </w:p>
    <w:p w:rsidR="007B6C3F" w:rsidRDefault="007B6C3F" w:rsidP="00413CC9">
      <w:pPr>
        <w:jc w:val="both"/>
        <w:rPr>
          <w:b/>
          <w:i/>
          <w:color w:val="FF0000"/>
        </w:rPr>
      </w:pPr>
    </w:p>
    <w:p w:rsidR="007B6C3F" w:rsidRPr="00413CC9" w:rsidRDefault="007B6C3F" w:rsidP="00413CC9">
      <w:pPr>
        <w:jc w:val="both"/>
        <w:rPr>
          <w:color w:val="FF0000"/>
        </w:rPr>
      </w:pPr>
      <w:r w:rsidRPr="009F6312">
        <w:rPr>
          <w:b/>
          <w:i/>
        </w:rPr>
        <w:t xml:space="preserve">Bilješke uz AOP </w:t>
      </w:r>
      <w:r>
        <w:rPr>
          <w:b/>
          <w:i/>
        </w:rPr>
        <w:t xml:space="preserve">105 </w:t>
      </w:r>
      <w:r>
        <w:rPr>
          <w:i/>
        </w:rPr>
        <w:t xml:space="preserve">– </w:t>
      </w:r>
      <w:r w:rsidRPr="00F91918">
        <w:t>Prihodi od upravnih i administrativnih pristojbi, pristojbi po posebnim propisima i naknada</w:t>
      </w:r>
      <w:r>
        <w:t xml:space="preserve">ma ostvareni su u iznosu od 562.127,00 kn te </w:t>
      </w:r>
      <w:r w:rsidRPr="00F91918">
        <w:t xml:space="preserve"> bilježe </w:t>
      </w:r>
      <w:r>
        <w:t>rast</w:t>
      </w:r>
      <w:r w:rsidRPr="00F91918">
        <w:t xml:space="preserve"> od </w:t>
      </w:r>
      <w:r>
        <w:t>23,7</w:t>
      </w:r>
      <w:r w:rsidRPr="00F91918">
        <w:t xml:space="preserve"> %.</w:t>
      </w:r>
      <w:r>
        <w:t xml:space="preserve"> Do povećanja prihoda dolazi zbog provođenja redovitih mjera naplate potraživanja (opomene, tužbe, ovrhe)  za grobnu naknadu i komunalnu naknadu iz prethodnih godina</w:t>
      </w:r>
    </w:p>
    <w:p w:rsidR="007B6C3F" w:rsidRPr="000F7A7A" w:rsidRDefault="007B6C3F" w:rsidP="00413CC9">
      <w:pPr>
        <w:jc w:val="both"/>
      </w:pPr>
    </w:p>
    <w:p w:rsidR="007B6C3F" w:rsidRDefault="007B6C3F" w:rsidP="00413CC9">
      <w:pPr>
        <w:jc w:val="both"/>
      </w:pPr>
      <w:r>
        <w:rPr>
          <w:b/>
          <w:i/>
        </w:rPr>
        <w:t xml:space="preserve">Bilješke uz AOP 123 – </w:t>
      </w:r>
      <w:r w:rsidRPr="00F91918">
        <w:t>Prihodi od prodaje proizvoda i roba te pruženih usluga i prihodi od donacije</w:t>
      </w:r>
      <w:r>
        <w:t xml:space="preserve"> ostvareni su u iznosu od 5.400,00 kn te</w:t>
      </w:r>
      <w:r w:rsidRPr="00F91918">
        <w:t xml:space="preserve"> bilježe </w:t>
      </w:r>
      <w:r>
        <w:t>rast 74,2</w:t>
      </w:r>
      <w:r w:rsidRPr="00F91918">
        <w:t xml:space="preserve"> %.  Do </w:t>
      </w:r>
      <w:r>
        <w:t>povećanja</w:t>
      </w:r>
      <w:r w:rsidRPr="00F91918">
        <w:t xml:space="preserve"> prihoda dolazi zbog </w:t>
      </w:r>
      <w:r>
        <w:t>povećane</w:t>
      </w:r>
      <w:r w:rsidRPr="00F91918">
        <w:t xml:space="preserve"> potražnje za pružanjem usluga košnje travnatih površina mještanima.</w:t>
      </w:r>
    </w:p>
    <w:p w:rsidR="007B6C3F" w:rsidRPr="00F91918" w:rsidRDefault="007B6C3F" w:rsidP="00413CC9">
      <w:pPr>
        <w:jc w:val="both"/>
      </w:pPr>
    </w:p>
    <w:p w:rsidR="007B6C3F" w:rsidRPr="00F91918" w:rsidRDefault="007B6C3F" w:rsidP="00413CC9">
      <w:pPr>
        <w:jc w:val="both"/>
      </w:pPr>
      <w:r>
        <w:rPr>
          <w:b/>
          <w:i/>
        </w:rPr>
        <w:t xml:space="preserve">Bilješke uz AOP 289 – </w:t>
      </w:r>
      <w:r w:rsidRPr="00F91918">
        <w:t xml:space="preserve">Prihodi od prodaje nefinancijske imovine </w:t>
      </w:r>
      <w:r>
        <w:t xml:space="preserve"> ostvareni su u iznosu od 495.089,00 kn te </w:t>
      </w:r>
      <w:r w:rsidRPr="00F91918">
        <w:t>bilježe</w:t>
      </w:r>
      <w:r>
        <w:t xml:space="preserve"> pad od 35,5</w:t>
      </w:r>
      <w:r w:rsidRPr="00F91918">
        <w:t xml:space="preserve"> %. Do </w:t>
      </w:r>
      <w:r>
        <w:t>smanjenja</w:t>
      </w:r>
      <w:r w:rsidRPr="00F91918">
        <w:t xml:space="preserve"> prihoda</w:t>
      </w:r>
      <w:r>
        <w:t xml:space="preserve"> u odnosu na prethodno izvještajno razdoblje </w:t>
      </w:r>
      <w:r w:rsidRPr="00F91918">
        <w:t>dolazi iz razloga što su pojedini poljoprivrednici</w:t>
      </w:r>
      <w:r>
        <w:t xml:space="preserve"> u 2017. g.</w:t>
      </w:r>
      <w:r w:rsidRPr="00F91918">
        <w:t xml:space="preserve"> unaprijed isplatili Ugovore za kupovinu poljoprivrednog zemljišta.</w:t>
      </w:r>
    </w:p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Default="007B6C3F" w:rsidP="00413CC9"/>
    <w:p w:rsidR="007B6C3F" w:rsidRPr="00C31A95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  <w:r w:rsidRPr="00C31A95">
        <w:rPr>
          <w:lang w:eastAsia="en-US"/>
        </w:rPr>
        <w:t>Vrijednosno najznačajniji promjene u kategoriji rashoda u 201</w:t>
      </w:r>
      <w:r>
        <w:rPr>
          <w:lang w:eastAsia="en-US"/>
        </w:rPr>
        <w:t>8</w:t>
      </w:r>
      <w:r w:rsidRPr="00C31A95">
        <w:rPr>
          <w:lang w:eastAsia="en-US"/>
        </w:rPr>
        <w:t xml:space="preserve"> godini u odnosu na 201</w:t>
      </w:r>
      <w:r>
        <w:rPr>
          <w:lang w:eastAsia="en-US"/>
        </w:rPr>
        <w:t xml:space="preserve">7. </w:t>
      </w:r>
      <w:r w:rsidRPr="00C31A95">
        <w:rPr>
          <w:lang w:eastAsia="en-US"/>
        </w:rPr>
        <w:t>godinu nastale su na sljedećim kategorijama:</w:t>
      </w:r>
    </w:p>
    <w:p w:rsidR="007B6C3F" w:rsidRDefault="007B6C3F" w:rsidP="00413CC9">
      <w:pPr>
        <w:autoSpaceDE w:val="0"/>
        <w:autoSpaceDN w:val="0"/>
        <w:adjustRightInd w:val="0"/>
        <w:jc w:val="both"/>
        <w:rPr>
          <w:b/>
          <w:i/>
          <w:color w:val="FF0000"/>
          <w:lang w:eastAsia="en-US"/>
        </w:rPr>
      </w:pPr>
    </w:p>
    <w:p w:rsidR="007B6C3F" w:rsidRDefault="007B6C3F" w:rsidP="00413CC9">
      <w:pPr>
        <w:autoSpaceDE w:val="0"/>
        <w:autoSpaceDN w:val="0"/>
        <w:adjustRightInd w:val="0"/>
        <w:jc w:val="both"/>
        <w:rPr>
          <w:b/>
          <w:i/>
          <w:color w:val="FF0000"/>
          <w:lang w:eastAsia="en-US"/>
        </w:rPr>
      </w:pP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  <w:r w:rsidRPr="00C31A95">
        <w:rPr>
          <w:b/>
          <w:i/>
          <w:lang w:eastAsia="en-US"/>
        </w:rPr>
        <w:t>Bilješke uz AOP 14</w:t>
      </w:r>
      <w:r>
        <w:rPr>
          <w:b/>
          <w:i/>
          <w:lang w:eastAsia="en-US"/>
        </w:rPr>
        <w:t>9</w:t>
      </w:r>
      <w:r w:rsidRPr="00C31A95">
        <w:rPr>
          <w:b/>
          <w:i/>
          <w:lang w:eastAsia="en-US"/>
        </w:rPr>
        <w:t xml:space="preserve">– </w:t>
      </w:r>
      <w:r w:rsidRPr="00C31A95">
        <w:rPr>
          <w:lang w:eastAsia="en-US"/>
        </w:rPr>
        <w:t>Rashodi za zaposlene</w:t>
      </w:r>
      <w:r>
        <w:rPr>
          <w:lang w:eastAsia="en-US"/>
        </w:rPr>
        <w:t xml:space="preserve"> ostvareni su u iznosu od 1.407.872,00 kn i bilježe rast od 2,1 % u odnosu na izvještajno razdoblje prošle godine. </w:t>
      </w:r>
    </w:p>
    <w:p w:rsidR="007B6C3F" w:rsidRDefault="007B6C3F" w:rsidP="00413CC9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  <w:r w:rsidRPr="00162829">
        <w:rPr>
          <w:b/>
          <w:i/>
          <w:lang w:eastAsia="en-US"/>
        </w:rPr>
        <w:t xml:space="preserve">Bilješke uz AOP </w:t>
      </w:r>
      <w:r>
        <w:rPr>
          <w:b/>
          <w:i/>
          <w:lang w:eastAsia="en-US"/>
        </w:rPr>
        <w:t>160</w:t>
      </w:r>
      <w:r w:rsidRPr="00162829">
        <w:rPr>
          <w:b/>
          <w:i/>
          <w:lang w:eastAsia="en-US"/>
        </w:rPr>
        <w:t xml:space="preserve"> – </w:t>
      </w:r>
      <w:r>
        <w:rPr>
          <w:lang w:eastAsia="en-US"/>
        </w:rPr>
        <w:t xml:space="preserve">Materijalni rashodi ostvareni su u iznosu od 1.906.545,00 kn te bilježe povećanje  od 3,7 % u odnosu na izvještajno razdoblje prošle godine. </w:t>
      </w: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C9249D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  <w:r w:rsidRPr="00162829">
        <w:rPr>
          <w:b/>
          <w:i/>
          <w:lang w:eastAsia="en-US"/>
        </w:rPr>
        <w:t xml:space="preserve">Bilješke uz AOP </w:t>
      </w:r>
      <w:r>
        <w:rPr>
          <w:b/>
          <w:i/>
          <w:lang w:eastAsia="en-US"/>
        </w:rPr>
        <w:t xml:space="preserve">193- </w:t>
      </w:r>
      <w:r w:rsidRPr="005C7DD9">
        <w:rPr>
          <w:lang w:eastAsia="en-US"/>
        </w:rPr>
        <w:t>Financijski rashodi</w:t>
      </w:r>
      <w:r>
        <w:rPr>
          <w:lang w:eastAsia="en-US"/>
        </w:rPr>
        <w:t xml:space="preserve"> ostvareni su u iznosu od 23.369,00 kn te bilježe rast od 18,9 % u odnosu na izvještajno razdoblje prošle godine.</w:t>
      </w:r>
      <w:r w:rsidRPr="005C7DD9">
        <w:rPr>
          <w:lang w:eastAsia="en-US"/>
        </w:rPr>
        <w:t xml:space="preserve"> </w:t>
      </w:r>
      <w:r w:rsidRPr="00C9249D">
        <w:rPr>
          <w:lang w:eastAsia="en-US"/>
        </w:rPr>
        <w:t>Do povećanja rashoda dolazi zbog plaćanja zateznih kamata zbog izgubljenog spora s Telekom izdavaštvom.</w:t>
      </w: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38517A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  <w:r w:rsidRPr="0038517A">
        <w:rPr>
          <w:b/>
          <w:i/>
          <w:lang w:eastAsia="en-US"/>
        </w:rPr>
        <w:t xml:space="preserve">Bilješke uz AOP 246- </w:t>
      </w:r>
      <w:r w:rsidRPr="0038517A">
        <w:rPr>
          <w:lang w:eastAsia="en-US"/>
        </w:rPr>
        <w:t xml:space="preserve">Naknade građanima i kućanstvima na temelju osiguranja i druge naknade ostvareni su u iznosu od 483.628,00 kn te bilježe rast do 47,2 % u odnosu na prethodno izvještajno razdoblje. Do povećanja rashoda dolazi zbog nastalih rashoda </w:t>
      </w:r>
      <w:r>
        <w:rPr>
          <w:lang w:eastAsia="en-US"/>
        </w:rPr>
        <w:t>po Programu poticanja</w:t>
      </w:r>
      <w:r w:rsidRPr="0038517A">
        <w:rPr>
          <w:lang w:eastAsia="en-US"/>
        </w:rPr>
        <w:t xml:space="preserve"> uređenja nase</w:t>
      </w:r>
      <w:r>
        <w:rPr>
          <w:lang w:eastAsia="en-US"/>
        </w:rPr>
        <w:t>lja i demografske obnove koji se provodi od 1.1.2018. godine.</w:t>
      </w: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  <w:r w:rsidRPr="00162829">
        <w:rPr>
          <w:b/>
          <w:i/>
          <w:lang w:eastAsia="en-US"/>
        </w:rPr>
        <w:t xml:space="preserve">Bilješke uz AOP </w:t>
      </w:r>
      <w:r>
        <w:rPr>
          <w:b/>
          <w:i/>
          <w:lang w:eastAsia="en-US"/>
        </w:rPr>
        <w:t xml:space="preserve">257- </w:t>
      </w:r>
      <w:r>
        <w:rPr>
          <w:lang w:eastAsia="en-US"/>
        </w:rPr>
        <w:t xml:space="preserve"> Ostali rashodi ostvareni su u iznosu od 406.339,00 kn te bilježe rast  od 9,7 %  u odnosu na izvještajno razdoblje prošle godine. </w:t>
      </w: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C1140B" w:rsidRDefault="007B6C3F" w:rsidP="00413CC9">
      <w:pPr>
        <w:autoSpaceDE w:val="0"/>
        <w:autoSpaceDN w:val="0"/>
        <w:adjustRightInd w:val="0"/>
        <w:jc w:val="both"/>
        <w:rPr>
          <w:lang w:eastAsia="en-US"/>
        </w:rPr>
      </w:pPr>
      <w:r w:rsidRPr="00162829">
        <w:rPr>
          <w:b/>
          <w:i/>
          <w:lang w:eastAsia="en-US"/>
        </w:rPr>
        <w:t xml:space="preserve">Bilješke uz AOP </w:t>
      </w:r>
      <w:r>
        <w:rPr>
          <w:b/>
          <w:i/>
          <w:lang w:eastAsia="en-US"/>
        </w:rPr>
        <w:t xml:space="preserve">341 – </w:t>
      </w:r>
      <w:r>
        <w:rPr>
          <w:lang w:eastAsia="en-US"/>
        </w:rPr>
        <w:t>Rashodi za nabavu nefinancijske imovine ostvareni su u iznosu od 3.661.522,00 kn te bilježe rast od 171 % u odnosu na izvještajno razdoblje prošle godine. Do povećanja rashoda dolazi zbog toga su u 2018. g. nastali rashodi za izgradnju reciklažnog dvorišta, za rekonstrukciju nerazvrstane ceste u Hrastinu te rashodi za Modernizaciju javne rasvjete Općine Vladislavci.</w:t>
      </w:r>
    </w:p>
    <w:p w:rsidR="007B6C3F" w:rsidRPr="001A4BCD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127EE9" w:rsidRDefault="007B6C3F" w:rsidP="00161530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IV</w:t>
      </w:r>
      <w:r w:rsidRPr="00127EE9">
        <w:rPr>
          <w:b/>
          <w:bCs/>
          <w:lang w:eastAsia="en-US"/>
        </w:rPr>
        <w:t xml:space="preserve">. BILJEŠKE UZ IZVJEŠTAJ </w:t>
      </w:r>
      <w:r>
        <w:rPr>
          <w:b/>
          <w:bCs/>
          <w:lang w:eastAsia="en-US"/>
        </w:rPr>
        <w:t>RAS FUNKCIJSKI</w:t>
      </w:r>
    </w:p>
    <w:p w:rsidR="007B6C3F" w:rsidRPr="00F313C6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  <w:r w:rsidRPr="00F313C6">
        <w:rPr>
          <w:lang w:eastAsia="en-US"/>
        </w:rPr>
        <w:t>Funkcijski se klasificiraju rashodi poslovanja i rashodi za nabavu nefinanc</w:t>
      </w:r>
      <w:r>
        <w:rPr>
          <w:lang w:eastAsia="en-US"/>
        </w:rPr>
        <w:t xml:space="preserve">ijske imovine, dok se izdaci za </w:t>
      </w:r>
      <w:r w:rsidRPr="00F313C6">
        <w:rPr>
          <w:lang w:eastAsia="en-US"/>
        </w:rPr>
        <w:t>financijsku imovinu i otplatu zajmova ne r</w:t>
      </w:r>
      <w:r>
        <w:rPr>
          <w:lang w:eastAsia="en-US"/>
        </w:rPr>
        <w:t xml:space="preserve">azvrstavaju funkcijski te se ne </w:t>
      </w:r>
      <w:r w:rsidRPr="00F313C6">
        <w:rPr>
          <w:lang w:eastAsia="en-US"/>
        </w:rPr>
        <w:t>uključuju u ovaj izvještaj.</w:t>
      </w:r>
    </w:p>
    <w:p w:rsidR="007B6C3F" w:rsidRDefault="007B6C3F" w:rsidP="0016153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B6C3F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  <w:r w:rsidRPr="005E39D3">
        <w:rPr>
          <w:lang w:eastAsia="en-US"/>
        </w:rPr>
        <w:t xml:space="preserve">Izvještaj o rashodima prema funkcijskoj klasifikaciji na AOP 137 odgovara iznosu na AOP </w:t>
      </w:r>
      <w:r>
        <w:rPr>
          <w:lang w:eastAsia="en-US"/>
        </w:rPr>
        <w:t>404</w:t>
      </w:r>
      <w:r w:rsidRPr="005E39D3">
        <w:rPr>
          <w:lang w:eastAsia="en-US"/>
        </w:rPr>
        <w:t xml:space="preserve"> Ukupni</w:t>
      </w:r>
      <w:r>
        <w:rPr>
          <w:lang w:eastAsia="en-US"/>
        </w:rPr>
        <w:t xml:space="preserve"> </w:t>
      </w:r>
      <w:r w:rsidRPr="005E39D3">
        <w:rPr>
          <w:lang w:eastAsia="en-US"/>
        </w:rPr>
        <w:t xml:space="preserve">rashodi u Obrascu PR-RAS u iznosu od </w:t>
      </w:r>
      <w:r>
        <w:rPr>
          <w:lang w:eastAsia="en-US"/>
        </w:rPr>
        <w:t>7.889.275</w:t>
      </w:r>
      <w:r w:rsidRPr="005E39D3">
        <w:rPr>
          <w:lang w:eastAsia="en-US"/>
        </w:rPr>
        <w:t xml:space="preserve"> </w:t>
      </w:r>
      <w:r>
        <w:rPr>
          <w:lang w:eastAsia="en-US"/>
        </w:rPr>
        <w:t>kn.</w:t>
      </w:r>
    </w:p>
    <w:p w:rsidR="007B6C3F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1271"/>
        <w:gridCol w:w="4394"/>
        <w:gridCol w:w="1843"/>
        <w:gridCol w:w="1552"/>
      </w:tblGrid>
      <w:tr w:rsidR="007B6C3F" w:rsidTr="00413CC9">
        <w:trPr>
          <w:trHeight w:val="442"/>
        </w:trPr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E6399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Funkcija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63995">
              <w:rPr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63995">
              <w:rPr>
                <w:b/>
                <w:bCs/>
                <w:sz w:val="22"/>
                <w:szCs w:val="22"/>
                <w:lang w:eastAsia="en-US"/>
              </w:rPr>
              <w:t>Ostvarenje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63995">
              <w:rPr>
                <w:b/>
                <w:bCs/>
                <w:sz w:val="22"/>
                <w:szCs w:val="22"/>
                <w:lang w:eastAsia="en-US"/>
              </w:rPr>
              <w:t>AOP oznaka</w:t>
            </w:r>
          </w:p>
        </w:tc>
      </w:tr>
      <w:tr w:rsidR="007B6C3F" w:rsidTr="00413CC9">
        <w:trPr>
          <w:trHeight w:val="442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94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Opće javne usluge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4.165.892</w:t>
            </w:r>
          </w:p>
        </w:tc>
        <w:tc>
          <w:tcPr>
            <w:tcW w:w="1552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001</w:t>
            </w:r>
          </w:p>
        </w:tc>
      </w:tr>
      <w:tr w:rsidR="007B6C3F" w:rsidTr="00413CC9">
        <w:trPr>
          <w:trHeight w:val="466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94" w:type="dxa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Ekonomski poslovi</w:t>
            </w:r>
          </w:p>
        </w:tc>
        <w:tc>
          <w:tcPr>
            <w:tcW w:w="1843" w:type="dxa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555.993</w:t>
            </w:r>
          </w:p>
        </w:tc>
        <w:tc>
          <w:tcPr>
            <w:tcW w:w="1552" w:type="dxa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031</w:t>
            </w:r>
          </w:p>
        </w:tc>
      </w:tr>
      <w:tr w:rsidR="007B6C3F" w:rsidTr="00413CC9">
        <w:trPr>
          <w:trHeight w:val="70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4394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552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6C3F" w:rsidTr="00413CC9">
        <w:trPr>
          <w:trHeight w:val="442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394" w:type="dxa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Usluge unapređenje stanovanja i zajednice</w:t>
            </w:r>
          </w:p>
        </w:tc>
        <w:tc>
          <w:tcPr>
            <w:tcW w:w="1843" w:type="dxa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2.736.127</w:t>
            </w:r>
          </w:p>
        </w:tc>
        <w:tc>
          <w:tcPr>
            <w:tcW w:w="1552" w:type="dxa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078</w:t>
            </w:r>
          </w:p>
        </w:tc>
      </w:tr>
      <w:tr w:rsidR="007B6C3F" w:rsidTr="00413CC9">
        <w:trPr>
          <w:trHeight w:val="442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94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Rekreacija, kultura, religija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31.000</w:t>
            </w:r>
          </w:p>
        </w:tc>
        <w:tc>
          <w:tcPr>
            <w:tcW w:w="1552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103</w:t>
            </w:r>
          </w:p>
        </w:tc>
      </w:tr>
      <w:tr w:rsidR="007B6C3F" w:rsidTr="00413CC9">
        <w:trPr>
          <w:trHeight w:val="442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394" w:type="dxa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Obrazovanje</w:t>
            </w:r>
          </w:p>
        </w:tc>
        <w:tc>
          <w:tcPr>
            <w:tcW w:w="1843" w:type="dxa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252.789</w:t>
            </w:r>
          </w:p>
        </w:tc>
        <w:tc>
          <w:tcPr>
            <w:tcW w:w="1552" w:type="dxa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110</w:t>
            </w:r>
          </w:p>
        </w:tc>
      </w:tr>
      <w:tr w:rsidR="007B6C3F" w:rsidTr="00413CC9">
        <w:trPr>
          <w:trHeight w:val="442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Socijalna zaštita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147.474</w:t>
            </w:r>
          </w:p>
        </w:tc>
        <w:tc>
          <w:tcPr>
            <w:tcW w:w="1552" w:type="dxa"/>
            <w:shd w:val="clear" w:color="auto" w:fill="D9E2F3"/>
            <w:vAlign w:val="center"/>
          </w:tcPr>
          <w:p w:rsidR="007B6C3F" w:rsidRPr="00E63995" w:rsidRDefault="007B6C3F" w:rsidP="00413C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125</w:t>
            </w:r>
          </w:p>
        </w:tc>
      </w:tr>
    </w:tbl>
    <w:p w:rsidR="007B6C3F" w:rsidRPr="005E39D3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16153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B6C3F" w:rsidRDefault="007B6C3F" w:rsidP="0016153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B6C3F" w:rsidRPr="00207ED6" w:rsidRDefault="007B6C3F" w:rsidP="0016153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07ED6">
        <w:rPr>
          <w:b/>
          <w:bCs/>
          <w:lang w:eastAsia="en-US"/>
        </w:rPr>
        <w:t>V. BILJEŠKE UZ IZVJEŠTAJ O PROMJENAMA U VRIJEDNOSTI I OBUJMU IMOVINE I</w:t>
      </w:r>
      <w:r>
        <w:rPr>
          <w:b/>
          <w:bCs/>
          <w:lang w:eastAsia="en-US"/>
        </w:rPr>
        <w:t xml:space="preserve"> </w:t>
      </w:r>
      <w:r w:rsidRPr="00207ED6">
        <w:rPr>
          <w:b/>
          <w:bCs/>
          <w:lang w:eastAsia="en-US"/>
        </w:rPr>
        <w:t>OBVEZA (P-VRIO)</w:t>
      </w:r>
    </w:p>
    <w:p w:rsidR="007B6C3F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F466DD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  <w:r w:rsidRPr="00F466DD">
        <w:rPr>
          <w:lang w:eastAsia="en-US"/>
        </w:rPr>
        <w:t>U izvještaju o promjenama u vrijednosti i obujmu imovine i obaveza iskazani su događaji koji utječu na neto</w:t>
      </w:r>
      <w:r>
        <w:rPr>
          <w:lang w:eastAsia="en-US"/>
        </w:rPr>
        <w:t xml:space="preserve"> </w:t>
      </w:r>
      <w:r w:rsidRPr="00F466DD">
        <w:rPr>
          <w:lang w:eastAsia="en-US"/>
        </w:rPr>
        <w:t>vrijednost koji nisu direktna posljedica transakcija iskazanih u prihodima i rashodima.</w:t>
      </w:r>
    </w:p>
    <w:p w:rsidR="007B6C3F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U izvještajnom razdoblju bilo je povećanja u obujmu imovine  koje se odnosi na neproizvedenu dugotrajnu imovinu AOP 020 u iznosu od 404.688,00 kn. Do povećanja dolazi zbog toga što je Osječko-baranjska županije</w:t>
      </w:r>
      <w:r w:rsidRPr="00665176">
        <w:rPr>
          <w:lang w:eastAsia="en-US"/>
        </w:rPr>
        <w:t xml:space="preserve"> darovala </w:t>
      </w:r>
      <w:r>
        <w:rPr>
          <w:lang w:eastAsia="en-US"/>
        </w:rPr>
        <w:t>dječje igralište u Vladislavcima u iznosu od 64.150,00 kn i rukometno igralište u Hrastinu u iznosu od 340.538,82 kn.</w:t>
      </w:r>
    </w:p>
    <w:p w:rsidR="007B6C3F" w:rsidRPr="00F41E6D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U Izvještajnom razdoblju bilo je i smanjenja u obujmu imovine, a odnose se na potraživanja za prihode poslovanja AOP 026 u iznosu od 444.710,00 kn. Navedeni iznos odnosi se na otpis zastarjelih potraživanja za komunalnu naknadu, grobnu naknadu i najamninu za stanove koji su prije bili u vlasništvu Općine Vladislavci.</w:t>
      </w:r>
    </w:p>
    <w:p w:rsidR="007B6C3F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127EE9" w:rsidRDefault="007B6C3F" w:rsidP="00161530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VI</w:t>
      </w:r>
      <w:r w:rsidRPr="00127EE9">
        <w:rPr>
          <w:b/>
          <w:bCs/>
          <w:lang w:eastAsia="en-US"/>
        </w:rPr>
        <w:t>. BILJEŠKE UZ IZVJEŠTAJ O OBVEZAMA</w:t>
      </w:r>
    </w:p>
    <w:p w:rsidR="007B6C3F" w:rsidRDefault="007B6C3F" w:rsidP="00161530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B6C3F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  <w:r w:rsidRPr="00584B55">
        <w:rPr>
          <w:b/>
          <w:bCs/>
          <w:i/>
          <w:lang w:eastAsia="en-US"/>
        </w:rPr>
        <w:t>Bilješke uz AOP 03</w:t>
      </w:r>
      <w:r>
        <w:rPr>
          <w:b/>
          <w:bCs/>
          <w:i/>
          <w:lang w:eastAsia="en-US"/>
        </w:rPr>
        <w:t>6</w:t>
      </w:r>
      <w:r w:rsidRPr="00050A00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- </w:t>
      </w:r>
      <w:r w:rsidRPr="00050A00">
        <w:rPr>
          <w:lang w:eastAsia="en-US"/>
        </w:rPr>
        <w:t xml:space="preserve">stanje obveza na kraju izvještajnog razdoblja u iznosu od </w:t>
      </w:r>
      <w:r>
        <w:rPr>
          <w:lang w:eastAsia="en-US"/>
        </w:rPr>
        <w:t xml:space="preserve">2.840.717,00 kn </w:t>
      </w:r>
      <w:r w:rsidRPr="00050A00">
        <w:rPr>
          <w:lang w:eastAsia="en-US"/>
        </w:rPr>
        <w:t>odgovara iznosu</w:t>
      </w:r>
      <w:r>
        <w:rPr>
          <w:lang w:eastAsia="en-US"/>
        </w:rPr>
        <w:t xml:space="preserve"> na AOP 163</w:t>
      </w:r>
      <w:r w:rsidRPr="00050A00">
        <w:rPr>
          <w:lang w:eastAsia="en-US"/>
        </w:rPr>
        <w:t xml:space="preserve"> Obveze u Obrascu: Bilanca.</w:t>
      </w:r>
      <w:r>
        <w:rPr>
          <w:lang w:eastAsia="en-US"/>
        </w:rPr>
        <w:t xml:space="preserve"> </w:t>
      </w:r>
    </w:p>
    <w:p w:rsidR="007B6C3F" w:rsidRDefault="007B6C3F" w:rsidP="00161530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B6C3F" w:rsidRPr="0038781B" w:rsidRDefault="007B6C3F" w:rsidP="00161530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Bilješka uz AOP 037</w:t>
      </w:r>
      <w:r w:rsidRPr="009D03D9">
        <w:rPr>
          <w:b/>
          <w:i/>
          <w:lang w:eastAsia="en-US"/>
        </w:rPr>
        <w:t xml:space="preserve"> - s</w:t>
      </w:r>
      <w:r w:rsidRPr="009D03D9">
        <w:rPr>
          <w:lang w:eastAsia="en-US"/>
        </w:rPr>
        <w:t>tanje dospjelih obveza na dan 31. prosinca 201</w:t>
      </w:r>
      <w:r>
        <w:rPr>
          <w:lang w:eastAsia="en-US"/>
        </w:rPr>
        <w:t>8</w:t>
      </w:r>
      <w:r w:rsidRPr="009D03D9">
        <w:rPr>
          <w:lang w:eastAsia="en-US"/>
        </w:rPr>
        <w:t xml:space="preserve">. godine iznosi </w:t>
      </w:r>
      <w:r>
        <w:rPr>
          <w:lang w:eastAsia="en-US"/>
        </w:rPr>
        <w:t>1.839.735,00</w:t>
      </w:r>
      <w:r w:rsidRPr="009D03D9">
        <w:rPr>
          <w:lang w:eastAsia="en-US"/>
        </w:rPr>
        <w:t xml:space="preserve"> kn, dok je stanje nedospjelih obveza </w:t>
      </w:r>
      <w:r>
        <w:rPr>
          <w:lang w:eastAsia="en-US"/>
        </w:rPr>
        <w:t>1.000.982,00</w:t>
      </w:r>
      <w:r w:rsidRPr="009D03D9">
        <w:rPr>
          <w:lang w:eastAsia="en-US"/>
        </w:rPr>
        <w:t xml:space="preserve"> kn. </w:t>
      </w:r>
    </w:p>
    <w:p w:rsidR="007B6C3F" w:rsidRPr="009D03D9" w:rsidRDefault="007B6C3F" w:rsidP="00161530">
      <w:pPr>
        <w:autoSpaceDE w:val="0"/>
        <w:autoSpaceDN w:val="0"/>
        <w:adjustRightInd w:val="0"/>
        <w:jc w:val="both"/>
        <w:rPr>
          <w:lang w:eastAsia="en-US"/>
        </w:rPr>
      </w:pPr>
      <w:r w:rsidRPr="009D03D9">
        <w:rPr>
          <w:lang w:eastAsia="en-US"/>
        </w:rPr>
        <w:t>Nedospjele obveze odnos se na:</w:t>
      </w:r>
    </w:p>
    <w:p w:rsidR="007B6C3F" w:rsidRDefault="007B6C3F" w:rsidP="001615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9D03D9">
        <w:rPr>
          <w:lang w:eastAsia="en-US"/>
        </w:rPr>
        <w:t>obveze za zaposlene za obračunatu plaću za prosinac /201</w:t>
      </w:r>
      <w:r>
        <w:rPr>
          <w:lang w:eastAsia="en-US"/>
        </w:rPr>
        <w:t>8</w:t>
      </w:r>
    </w:p>
    <w:p w:rsidR="007B6C3F" w:rsidRDefault="007B6C3F" w:rsidP="001615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obveze ze EU predujmove za program Zaželi bolji život u Općini  Vladislavci</w:t>
      </w:r>
      <w:r w:rsidRPr="009D03D9">
        <w:rPr>
          <w:lang w:eastAsia="en-US"/>
        </w:rPr>
        <w:t xml:space="preserve"> </w:t>
      </w:r>
    </w:p>
    <w:p w:rsidR="007B6C3F" w:rsidRPr="00665176" w:rsidRDefault="007B6C3F" w:rsidP="00E211E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Ugovornih odnosa koji uz ispunjenje određenih uvjeta mogu postati obveza ili imovina u razdoblju od 1. siječnja 2018. do 31. prosinca 2018. nije bilo.</w:t>
      </w:r>
      <w:r w:rsidRPr="00665176">
        <w:rPr>
          <w:b/>
          <w:i/>
          <w:lang w:eastAsia="en-US"/>
        </w:rPr>
        <w:t xml:space="preserve"> </w:t>
      </w:r>
    </w:p>
    <w:p w:rsidR="007B6C3F" w:rsidRDefault="007B6C3F" w:rsidP="00E211EE">
      <w:pPr>
        <w:pStyle w:val="ListParagraph"/>
        <w:autoSpaceDE w:val="0"/>
        <w:autoSpaceDN w:val="0"/>
        <w:adjustRightInd w:val="0"/>
        <w:ind w:left="360"/>
        <w:jc w:val="both"/>
        <w:rPr>
          <w:lang w:eastAsia="en-US"/>
        </w:rPr>
      </w:pPr>
    </w:p>
    <w:p w:rsidR="007B6C3F" w:rsidRDefault="007B6C3F" w:rsidP="00DB5ED0">
      <w:pPr>
        <w:pStyle w:val="ListParagraph"/>
        <w:autoSpaceDE w:val="0"/>
        <w:autoSpaceDN w:val="0"/>
        <w:adjustRightInd w:val="0"/>
        <w:jc w:val="both"/>
        <w:rPr>
          <w:lang w:eastAsia="en-US"/>
        </w:rPr>
      </w:pPr>
    </w:p>
    <w:p w:rsidR="007B6C3F" w:rsidRPr="00665176" w:rsidRDefault="007B6C3F" w:rsidP="00DB5ED0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65176">
        <w:rPr>
          <w:b/>
          <w:i/>
          <w:lang w:eastAsia="en-US"/>
        </w:rPr>
        <w:t xml:space="preserve">Sporovi Općine Vladislavci </w:t>
      </w:r>
    </w:p>
    <w:p w:rsidR="007B6C3F" w:rsidRDefault="007B6C3F" w:rsidP="00DB5ED0">
      <w:pPr>
        <w:pStyle w:val="ListParagraph"/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Popis sudskih sporova</w:t>
      </w: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1393"/>
        <w:gridCol w:w="1812"/>
        <w:gridCol w:w="1812"/>
        <w:gridCol w:w="3696"/>
      </w:tblGrid>
      <w:tr w:rsidR="007B6C3F" w:rsidRPr="004245B9" w:rsidTr="001D5367">
        <w:tc>
          <w:tcPr>
            <w:tcW w:w="696" w:type="dxa"/>
            <w:shd w:val="clear" w:color="auto" w:fill="BFBFBF"/>
          </w:tcPr>
          <w:p w:rsidR="007B6C3F" w:rsidRPr="001D5367" w:rsidRDefault="007B6C3F" w:rsidP="001D5367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D5367">
              <w:rPr>
                <w:b/>
                <w:lang w:eastAsia="en-US"/>
              </w:rPr>
              <w:t>R.br.</w:t>
            </w:r>
          </w:p>
        </w:tc>
        <w:tc>
          <w:tcPr>
            <w:tcW w:w="1397" w:type="dxa"/>
            <w:shd w:val="clear" w:color="auto" w:fill="BFBFBF"/>
          </w:tcPr>
          <w:p w:rsidR="007B6C3F" w:rsidRPr="001D5367" w:rsidRDefault="007B6C3F" w:rsidP="001D5367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D5367">
              <w:rPr>
                <w:b/>
                <w:lang w:eastAsia="en-US"/>
              </w:rPr>
              <w:t>Tužitelj</w:t>
            </w:r>
          </w:p>
        </w:tc>
        <w:tc>
          <w:tcPr>
            <w:tcW w:w="1820" w:type="dxa"/>
            <w:shd w:val="clear" w:color="auto" w:fill="BFBFBF"/>
          </w:tcPr>
          <w:p w:rsidR="007B6C3F" w:rsidRPr="001D5367" w:rsidRDefault="007B6C3F" w:rsidP="001D5367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D5367">
              <w:rPr>
                <w:b/>
                <w:lang w:eastAsia="en-US"/>
              </w:rPr>
              <w:t>Tuženik</w:t>
            </w:r>
          </w:p>
        </w:tc>
        <w:tc>
          <w:tcPr>
            <w:tcW w:w="1820" w:type="dxa"/>
            <w:shd w:val="clear" w:color="auto" w:fill="BFBFBF"/>
          </w:tcPr>
          <w:p w:rsidR="007B6C3F" w:rsidRPr="001D5367" w:rsidRDefault="007B6C3F" w:rsidP="001D5367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D5367">
              <w:rPr>
                <w:b/>
                <w:lang w:eastAsia="en-US"/>
              </w:rPr>
              <w:t>Vrijednost spora</w:t>
            </w:r>
          </w:p>
        </w:tc>
        <w:tc>
          <w:tcPr>
            <w:tcW w:w="3731" w:type="dxa"/>
            <w:shd w:val="clear" w:color="auto" w:fill="BFBFBF"/>
          </w:tcPr>
          <w:p w:rsidR="007B6C3F" w:rsidRPr="001D5367" w:rsidRDefault="007B6C3F" w:rsidP="001D5367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D5367">
              <w:rPr>
                <w:b/>
                <w:lang w:eastAsia="en-US"/>
              </w:rPr>
              <w:t>Opis predmeta spora</w:t>
            </w:r>
          </w:p>
        </w:tc>
      </w:tr>
      <w:tr w:rsidR="007B6C3F" w:rsidTr="001D5367">
        <w:tc>
          <w:tcPr>
            <w:tcW w:w="696" w:type="dxa"/>
          </w:tcPr>
          <w:p w:rsidR="007B6C3F" w:rsidRDefault="007B6C3F" w:rsidP="001D53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97" w:type="dxa"/>
          </w:tcPr>
          <w:p w:rsidR="007B6C3F" w:rsidRPr="001D5367" w:rsidRDefault="007B6C3F" w:rsidP="001D53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5367">
              <w:rPr>
                <w:sz w:val="22"/>
                <w:szCs w:val="22"/>
                <w:lang w:eastAsia="en-US"/>
              </w:rPr>
              <w:t>Telekom izdavaštvo d.o.o. Zagreb, J. Gotovca 1, Zagreb</w:t>
            </w:r>
          </w:p>
        </w:tc>
        <w:tc>
          <w:tcPr>
            <w:tcW w:w="1820" w:type="dxa"/>
          </w:tcPr>
          <w:p w:rsidR="007B6C3F" w:rsidRDefault="007B6C3F" w:rsidP="001D53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Općina Vladislavci</w:t>
            </w:r>
          </w:p>
        </w:tc>
        <w:tc>
          <w:tcPr>
            <w:tcW w:w="1820" w:type="dxa"/>
          </w:tcPr>
          <w:p w:rsidR="007B6C3F" w:rsidRDefault="007B6C3F" w:rsidP="001D5367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4.870,80 kn, uvećano za z.z.k i troškove postupka </w:t>
            </w:r>
          </w:p>
        </w:tc>
        <w:tc>
          <w:tcPr>
            <w:tcW w:w="3731" w:type="dxa"/>
          </w:tcPr>
          <w:p w:rsidR="007B6C3F" w:rsidRDefault="007B6C3F" w:rsidP="001D53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5367">
              <w:rPr>
                <w:lang w:val="sv-SE"/>
              </w:rPr>
              <w:t>Spor</w:t>
            </w:r>
            <w:r w:rsidRPr="008A5DE8">
              <w:t xml:space="preserve"> </w:t>
            </w:r>
            <w:r w:rsidRPr="001D5367">
              <w:rPr>
                <w:lang w:val="sv-SE"/>
              </w:rPr>
              <w:t>se</w:t>
            </w:r>
            <w:r w:rsidRPr="008A5DE8">
              <w:t xml:space="preserve"> </w:t>
            </w:r>
            <w:r w:rsidRPr="001D5367">
              <w:rPr>
                <w:lang w:val="sv-SE"/>
              </w:rPr>
              <w:t>vodi</w:t>
            </w:r>
            <w:r w:rsidRPr="008A5DE8">
              <w:t xml:space="preserve"> </w:t>
            </w:r>
            <w:r w:rsidRPr="001D5367">
              <w:rPr>
                <w:lang w:val="sv-SE"/>
              </w:rPr>
              <w:t>pred</w:t>
            </w:r>
            <w:r w:rsidRPr="008A5DE8">
              <w:t xml:space="preserve"> </w:t>
            </w:r>
            <w:r w:rsidRPr="001D5367">
              <w:rPr>
                <w:lang w:val="sv-SE"/>
              </w:rPr>
              <w:t>Trgova</w:t>
            </w:r>
            <w:r w:rsidRPr="008A5DE8">
              <w:t>č</w:t>
            </w:r>
            <w:r w:rsidRPr="001D5367">
              <w:rPr>
                <w:lang w:val="sv-SE"/>
              </w:rPr>
              <w:t>kim</w:t>
            </w:r>
            <w:r w:rsidRPr="008A5DE8">
              <w:t xml:space="preserve"> </w:t>
            </w:r>
            <w:r w:rsidRPr="001D5367">
              <w:rPr>
                <w:lang w:val="sv-SE"/>
              </w:rPr>
              <w:t>sudom</w:t>
            </w:r>
            <w:r w:rsidRPr="008A5DE8">
              <w:t xml:space="preserve"> </w:t>
            </w:r>
            <w:r w:rsidRPr="001D5367">
              <w:rPr>
                <w:lang w:val="sv-SE"/>
              </w:rPr>
              <w:t>u</w:t>
            </w:r>
            <w:r w:rsidRPr="008A5DE8">
              <w:t xml:space="preserve"> </w:t>
            </w:r>
            <w:r w:rsidRPr="001D5367">
              <w:rPr>
                <w:lang w:val="sv-SE"/>
              </w:rPr>
              <w:t>Rijeci</w:t>
            </w:r>
            <w:r w:rsidRPr="008A5DE8">
              <w:t xml:space="preserve"> </w:t>
            </w:r>
            <w:r w:rsidRPr="001D5367">
              <w:rPr>
                <w:lang w:val="sv-SE"/>
              </w:rPr>
              <w:t>broj</w:t>
            </w:r>
            <w:r w:rsidRPr="008A5DE8">
              <w:t xml:space="preserve"> </w:t>
            </w:r>
            <w:r w:rsidRPr="001D5367">
              <w:rPr>
                <w:lang w:val="sv-SE"/>
              </w:rPr>
              <w:t>Ovrv</w:t>
            </w:r>
            <w:r w:rsidRPr="008A5DE8">
              <w:t xml:space="preserve">-1760/17. </w:t>
            </w:r>
            <w:r w:rsidRPr="001D5367">
              <w:rPr>
                <w:lang w:val="sv-SE"/>
              </w:rPr>
              <w:t>U</w:t>
            </w:r>
            <w:r w:rsidRPr="008A5DE8">
              <w:t xml:space="preserve"> </w:t>
            </w:r>
            <w:r w:rsidRPr="001D5367">
              <w:rPr>
                <w:lang w:val="sv-SE"/>
              </w:rPr>
              <w:t>predmetnom</w:t>
            </w:r>
            <w:r w:rsidRPr="008A5DE8">
              <w:t xml:space="preserve"> </w:t>
            </w:r>
            <w:r w:rsidRPr="001D5367">
              <w:rPr>
                <w:lang w:val="sv-SE"/>
              </w:rPr>
              <w:t>sporu</w:t>
            </w:r>
            <w:r w:rsidRPr="008A5DE8">
              <w:t xml:space="preserve"> </w:t>
            </w:r>
            <w:r>
              <w:t xml:space="preserve">održano je </w:t>
            </w:r>
            <w:r w:rsidRPr="001D5367">
              <w:rPr>
                <w:lang w:val="sv-SE"/>
              </w:rPr>
              <w:t>ro</w:t>
            </w:r>
            <w:r w:rsidRPr="008A5DE8">
              <w:t>č</w:t>
            </w:r>
            <w:r w:rsidRPr="001D5367">
              <w:rPr>
                <w:lang w:val="sv-SE"/>
              </w:rPr>
              <w:t>i</w:t>
            </w:r>
            <w:r w:rsidRPr="008A5DE8">
              <w:t>š</w:t>
            </w:r>
            <w:r w:rsidRPr="001D5367">
              <w:rPr>
                <w:lang w:val="sv-SE"/>
              </w:rPr>
              <w:t>te</w:t>
            </w:r>
            <w:r w:rsidRPr="008A5DE8">
              <w:t xml:space="preserve"> </w:t>
            </w:r>
            <w:r w:rsidRPr="001D5367">
              <w:rPr>
                <w:lang w:val="sv-SE"/>
              </w:rPr>
              <w:t>u</w:t>
            </w:r>
            <w:r w:rsidRPr="008A5DE8">
              <w:t xml:space="preserve"> </w:t>
            </w:r>
            <w:r w:rsidRPr="001D5367">
              <w:rPr>
                <w:lang w:val="sv-SE"/>
              </w:rPr>
              <w:t>listopadu</w:t>
            </w:r>
            <w:r w:rsidRPr="008A5DE8">
              <w:t xml:space="preserve"> 2018.</w:t>
            </w:r>
            <w:r w:rsidRPr="001D5367">
              <w:rPr>
                <w:lang w:val="sv-SE"/>
              </w:rPr>
              <w:t>g</w:t>
            </w:r>
            <w:r w:rsidRPr="008A5DE8">
              <w:t xml:space="preserve">. </w:t>
            </w:r>
            <w:r w:rsidRPr="001D5367">
              <w:rPr>
                <w:lang w:val="sv-SE"/>
              </w:rPr>
              <w:t>Kao</w:t>
            </w:r>
            <w:r w:rsidRPr="008A5DE8">
              <w:t xml:space="preserve"> </w:t>
            </w:r>
            <w:r w:rsidRPr="001D5367">
              <w:rPr>
                <w:lang w:val="sv-SE"/>
              </w:rPr>
              <w:t>i</w:t>
            </w:r>
            <w:r w:rsidRPr="008A5DE8">
              <w:t xml:space="preserve"> </w:t>
            </w:r>
            <w:r w:rsidRPr="001D5367">
              <w:rPr>
                <w:lang w:val="sv-SE"/>
              </w:rPr>
              <w:t>u</w:t>
            </w:r>
            <w:r w:rsidRPr="008A5DE8">
              <w:t xml:space="preserve"> </w:t>
            </w:r>
            <w:r w:rsidRPr="001D5367">
              <w:rPr>
                <w:lang w:val="sv-SE"/>
              </w:rPr>
              <w:t>predmetu</w:t>
            </w:r>
            <w:r w:rsidRPr="008A5DE8">
              <w:t xml:space="preserve"> </w:t>
            </w:r>
            <w:r w:rsidRPr="001D5367">
              <w:rPr>
                <w:lang w:val="sv-SE"/>
              </w:rPr>
              <w:t>koji</w:t>
            </w:r>
            <w:r w:rsidRPr="008A5DE8">
              <w:t xml:space="preserve"> </w:t>
            </w:r>
            <w:r w:rsidRPr="001D5367">
              <w:rPr>
                <w:lang w:val="sv-SE"/>
              </w:rPr>
              <w:t>je</w:t>
            </w:r>
            <w:r w:rsidRPr="008A5DE8">
              <w:t xml:space="preserve"> </w:t>
            </w:r>
            <w:r w:rsidRPr="001D5367">
              <w:rPr>
                <w:lang w:val="sv-SE"/>
              </w:rPr>
              <w:t>pravomo</w:t>
            </w:r>
            <w:r w:rsidRPr="008A5DE8">
              <w:t>ć</w:t>
            </w:r>
            <w:r w:rsidRPr="001D5367">
              <w:rPr>
                <w:lang w:val="sv-SE"/>
              </w:rPr>
              <w:t>no</w:t>
            </w:r>
            <w:r w:rsidRPr="008A5DE8">
              <w:t xml:space="preserve"> </w:t>
            </w:r>
            <w:r w:rsidRPr="001D5367">
              <w:rPr>
                <w:lang w:val="sv-SE"/>
              </w:rPr>
              <w:t>okon</w:t>
            </w:r>
            <w:r w:rsidRPr="008A5DE8">
              <w:t>č</w:t>
            </w:r>
            <w:r w:rsidRPr="001D5367">
              <w:rPr>
                <w:lang w:val="sv-SE"/>
              </w:rPr>
              <w:t>an</w:t>
            </w:r>
            <w:r w:rsidRPr="008A5DE8">
              <w:t xml:space="preserve"> </w:t>
            </w:r>
            <w:r w:rsidRPr="001D5367">
              <w:rPr>
                <w:lang w:val="sv-SE"/>
              </w:rPr>
              <w:t>u</w:t>
            </w:r>
            <w:r w:rsidRPr="008A5DE8">
              <w:t xml:space="preserve"> </w:t>
            </w:r>
            <w:r w:rsidRPr="001D5367">
              <w:rPr>
                <w:lang w:val="sv-SE"/>
              </w:rPr>
              <w:t>korist</w:t>
            </w:r>
            <w:r w:rsidRPr="008A5DE8">
              <w:t xml:space="preserve"> </w:t>
            </w:r>
            <w:r w:rsidRPr="001D5367">
              <w:rPr>
                <w:lang w:val="sv-SE"/>
              </w:rPr>
              <w:t>tu</w:t>
            </w:r>
            <w:r w:rsidRPr="008A5DE8">
              <w:t>ž</w:t>
            </w:r>
            <w:r w:rsidRPr="001D5367">
              <w:rPr>
                <w:lang w:val="sv-SE"/>
              </w:rPr>
              <w:t>itelja</w:t>
            </w:r>
            <w:r w:rsidRPr="008A5DE8">
              <w:t xml:space="preserve"> </w:t>
            </w:r>
            <w:r w:rsidRPr="001D5367">
              <w:rPr>
                <w:lang w:val="sv-SE"/>
              </w:rPr>
              <w:t>i</w:t>
            </w:r>
            <w:r w:rsidRPr="008A5DE8">
              <w:t xml:space="preserve"> </w:t>
            </w:r>
            <w:r w:rsidRPr="001D5367">
              <w:rPr>
                <w:lang w:val="sv-SE"/>
              </w:rPr>
              <w:t>u</w:t>
            </w:r>
            <w:r w:rsidRPr="008A5DE8">
              <w:t xml:space="preserve"> </w:t>
            </w:r>
            <w:r w:rsidRPr="001D5367">
              <w:rPr>
                <w:lang w:val="sv-SE"/>
              </w:rPr>
              <w:t>ovom</w:t>
            </w:r>
            <w:r w:rsidRPr="008A5DE8">
              <w:t xml:space="preserve"> </w:t>
            </w:r>
            <w:r w:rsidRPr="001D5367">
              <w:rPr>
                <w:lang w:val="sv-SE"/>
              </w:rPr>
              <w:t>predmetu</w:t>
            </w:r>
            <w:r w:rsidRPr="008A5DE8">
              <w:t xml:space="preserve"> </w:t>
            </w:r>
            <w:r w:rsidRPr="001D5367">
              <w:rPr>
                <w:lang w:val="sv-SE"/>
              </w:rPr>
              <w:t>Op</w:t>
            </w:r>
            <w:r w:rsidRPr="008A5DE8">
              <w:t>ć</w:t>
            </w:r>
            <w:r w:rsidRPr="001D5367">
              <w:rPr>
                <w:lang w:val="sv-SE"/>
              </w:rPr>
              <w:t>ina</w:t>
            </w:r>
            <w:r w:rsidRPr="008A5DE8">
              <w:t xml:space="preserve"> </w:t>
            </w:r>
            <w:r w:rsidRPr="001D5367">
              <w:rPr>
                <w:lang w:val="sv-SE"/>
              </w:rPr>
              <w:t>Vladislavci</w:t>
            </w:r>
            <w:r w:rsidRPr="008A5DE8">
              <w:t xml:space="preserve"> </w:t>
            </w:r>
            <w:r w:rsidRPr="001D5367">
              <w:rPr>
                <w:lang w:val="sv-SE"/>
              </w:rPr>
              <w:t>pobija</w:t>
            </w:r>
            <w:r w:rsidRPr="008A5DE8">
              <w:t xml:space="preserve"> </w:t>
            </w:r>
            <w:r w:rsidRPr="001D5367">
              <w:rPr>
                <w:lang w:val="sv-SE"/>
              </w:rPr>
              <w:t>presudu</w:t>
            </w:r>
            <w:r w:rsidRPr="008A5DE8">
              <w:t xml:space="preserve"> </w:t>
            </w:r>
            <w:r w:rsidRPr="001D5367">
              <w:rPr>
                <w:lang w:val="sv-SE"/>
              </w:rPr>
              <w:t>u</w:t>
            </w:r>
            <w:r w:rsidRPr="008A5DE8">
              <w:t xml:space="preserve"> </w:t>
            </w:r>
            <w:r w:rsidRPr="001D5367">
              <w:rPr>
                <w:lang w:val="sv-SE"/>
              </w:rPr>
              <w:t>cijelosti</w:t>
            </w:r>
            <w:r w:rsidRPr="008A5DE8">
              <w:t xml:space="preserve"> </w:t>
            </w:r>
            <w:r w:rsidRPr="001D5367">
              <w:rPr>
                <w:lang w:val="sv-SE"/>
              </w:rPr>
              <w:t>zbog</w:t>
            </w:r>
            <w:r w:rsidRPr="008A5DE8">
              <w:t xml:space="preserve"> </w:t>
            </w:r>
            <w:r w:rsidRPr="001D5367">
              <w:rPr>
                <w:lang w:val="sv-SE"/>
              </w:rPr>
              <w:t>sklapanja</w:t>
            </w:r>
            <w:r w:rsidRPr="008A5DE8">
              <w:t xml:space="preserve"> </w:t>
            </w:r>
            <w:r w:rsidRPr="001D5367">
              <w:rPr>
                <w:lang w:val="sv-SE"/>
              </w:rPr>
              <w:t>ugovora</w:t>
            </w:r>
            <w:r w:rsidRPr="008A5DE8">
              <w:t xml:space="preserve"> </w:t>
            </w:r>
            <w:r w:rsidRPr="001D5367">
              <w:rPr>
                <w:lang w:val="sv-SE"/>
              </w:rPr>
              <w:t>na</w:t>
            </w:r>
            <w:r w:rsidRPr="008A5DE8">
              <w:t xml:space="preserve"> </w:t>
            </w:r>
            <w:r w:rsidRPr="001D5367">
              <w:rPr>
                <w:lang w:val="sv-SE"/>
              </w:rPr>
              <w:t>prijevaran</w:t>
            </w:r>
            <w:r w:rsidRPr="008A5DE8">
              <w:t xml:space="preserve"> </w:t>
            </w:r>
            <w:r w:rsidRPr="001D5367">
              <w:rPr>
                <w:lang w:val="sv-SE"/>
              </w:rPr>
              <w:t>na</w:t>
            </w:r>
            <w:r w:rsidRPr="008A5DE8">
              <w:t>č</w:t>
            </w:r>
            <w:r w:rsidRPr="001D5367">
              <w:rPr>
                <w:lang w:val="sv-SE"/>
              </w:rPr>
              <w:t>in</w:t>
            </w:r>
            <w:r w:rsidRPr="008A5DE8">
              <w:t xml:space="preserve"> </w:t>
            </w:r>
            <w:r w:rsidRPr="001D5367">
              <w:rPr>
                <w:lang w:val="sv-SE"/>
              </w:rPr>
              <w:t>te</w:t>
            </w:r>
            <w:r w:rsidRPr="008A5DE8">
              <w:t xml:space="preserve"> </w:t>
            </w:r>
            <w:r w:rsidRPr="001D5367">
              <w:rPr>
                <w:lang w:val="sv-SE"/>
              </w:rPr>
              <w:t>zato</w:t>
            </w:r>
            <w:r w:rsidRPr="008A5DE8">
              <w:t xml:space="preserve"> š</w:t>
            </w:r>
            <w:r w:rsidRPr="001D5367">
              <w:rPr>
                <w:lang w:val="sv-SE"/>
              </w:rPr>
              <w:t>to</w:t>
            </w:r>
            <w:r w:rsidRPr="008A5DE8">
              <w:t xml:space="preserve"> </w:t>
            </w:r>
            <w:r w:rsidRPr="001D5367">
              <w:rPr>
                <w:lang w:val="sv-SE"/>
              </w:rPr>
              <w:t>isti</w:t>
            </w:r>
            <w:r w:rsidRPr="008A5DE8">
              <w:t xml:space="preserve"> </w:t>
            </w:r>
            <w:r w:rsidRPr="001D5367">
              <w:rPr>
                <w:lang w:val="sv-SE"/>
              </w:rPr>
              <w:t>sadr</w:t>
            </w:r>
            <w:r w:rsidRPr="008A5DE8">
              <w:t>ž</w:t>
            </w:r>
            <w:r w:rsidRPr="001D5367">
              <w:rPr>
                <w:lang w:val="sv-SE"/>
              </w:rPr>
              <w:t>i</w:t>
            </w:r>
            <w:r w:rsidRPr="008A5DE8">
              <w:t xml:space="preserve"> </w:t>
            </w:r>
            <w:r w:rsidRPr="001D5367">
              <w:rPr>
                <w:lang w:val="sv-SE"/>
              </w:rPr>
              <w:t>niz</w:t>
            </w:r>
            <w:r w:rsidRPr="008A5DE8">
              <w:t xml:space="preserve"> </w:t>
            </w:r>
            <w:r w:rsidRPr="001D5367">
              <w:rPr>
                <w:lang w:val="sv-SE"/>
              </w:rPr>
              <w:t>nezakonitih</w:t>
            </w:r>
            <w:r w:rsidRPr="008A5DE8">
              <w:t xml:space="preserve"> </w:t>
            </w:r>
            <w:r w:rsidRPr="001D5367">
              <w:rPr>
                <w:lang w:val="sv-SE"/>
              </w:rPr>
              <w:t>i</w:t>
            </w:r>
            <w:r w:rsidRPr="008A5DE8">
              <w:t xml:space="preserve"> </w:t>
            </w:r>
            <w:r w:rsidRPr="001D5367">
              <w:rPr>
                <w:lang w:val="sv-SE"/>
              </w:rPr>
              <w:t>neistinitih</w:t>
            </w:r>
            <w:r w:rsidRPr="008A5DE8">
              <w:t xml:space="preserve"> </w:t>
            </w:r>
            <w:r w:rsidRPr="001D5367">
              <w:rPr>
                <w:lang w:val="sv-SE"/>
              </w:rPr>
              <w:t>navoda</w:t>
            </w:r>
            <w:r w:rsidRPr="008A5DE8">
              <w:t xml:space="preserve">. </w:t>
            </w:r>
          </w:p>
        </w:tc>
      </w:tr>
    </w:tbl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B6C3F" w:rsidRPr="00A8126A" w:rsidRDefault="007B6C3F" w:rsidP="0041047F">
      <w:pPr>
        <w:tabs>
          <w:tab w:val="left" w:pos="4320"/>
        </w:tabs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</w:t>
      </w:r>
      <w:r w:rsidRPr="00A8126A">
        <w:rPr>
          <w:b/>
          <w:lang w:eastAsia="en-US"/>
        </w:rPr>
        <w:t>Općinski načelnik:</w:t>
      </w:r>
    </w:p>
    <w:p w:rsidR="007B6C3F" w:rsidRDefault="007B6C3F" w:rsidP="00DB5ED0">
      <w:pPr>
        <w:autoSpaceDE w:val="0"/>
        <w:autoSpaceDN w:val="0"/>
        <w:adjustRightInd w:val="0"/>
        <w:jc w:val="right"/>
        <w:rPr>
          <w:lang w:eastAsia="en-US"/>
        </w:rPr>
      </w:pPr>
    </w:p>
    <w:p w:rsidR="007B6C3F" w:rsidRPr="00A8126A" w:rsidRDefault="007B6C3F" w:rsidP="0041047F">
      <w:pPr>
        <w:autoSpaceDE w:val="0"/>
        <w:autoSpaceDN w:val="0"/>
        <w:adjustRightInd w:val="0"/>
        <w:ind w:left="6372" w:right="250" w:hanging="252"/>
        <w:jc w:val="center"/>
        <w:rPr>
          <w:lang w:eastAsia="en-US"/>
        </w:rPr>
      </w:pPr>
      <w:r>
        <w:rPr>
          <w:lang w:eastAsia="en-US"/>
        </w:rPr>
        <w:t>Marjan Tomas, v.r.</w:t>
      </w:r>
    </w:p>
    <w:p w:rsidR="007B6C3F" w:rsidRDefault="007B6C3F" w:rsidP="00B450AD">
      <w:pPr>
        <w:autoSpaceDE w:val="0"/>
        <w:autoSpaceDN w:val="0"/>
        <w:adjustRightInd w:val="0"/>
        <w:jc w:val="both"/>
        <w:rPr>
          <w:lang w:eastAsia="en-US"/>
        </w:rPr>
      </w:pPr>
    </w:p>
    <w:sectPr w:rsidR="007B6C3F" w:rsidSect="005664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3F" w:rsidRDefault="007B6C3F" w:rsidP="00F313C6">
      <w:r>
        <w:separator/>
      </w:r>
    </w:p>
  </w:endnote>
  <w:endnote w:type="continuationSeparator" w:id="0">
    <w:p w:rsidR="007B6C3F" w:rsidRDefault="007B6C3F" w:rsidP="00F3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3F" w:rsidRDefault="007B6C3F">
    <w:pPr>
      <w:pStyle w:val="Footer"/>
      <w:jc w:val="right"/>
    </w:pPr>
  </w:p>
  <w:p w:rsidR="007B6C3F" w:rsidRDefault="007B6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3F" w:rsidRDefault="007B6C3F" w:rsidP="00F313C6">
      <w:r>
        <w:separator/>
      </w:r>
    </w:p>
  </w:footnote>
  <w:footnote w:type="continuationSeparator" w:id="0">
    <w:p w:rsidR="007B6C3F" w:rsidRDefault="007B6C3F" w:rsidP="00F3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3F" w:rsidRDefault="007B6C3F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7F7F7F"/>
        <w:spacing w:val="60"/>
      </w:rPr>
      <w:t>Stranica</w:t>
    </w:r>
    <w:r>
      <w:t xml:space="preserve"> | </w:t>
    </w:r>
    <w:fldSimple w:instr="PAGE   \* MERGEFORMAT">
      <w:r w:rsidRPr="00E211EE">
        <w:rPr>
          <w:b/>
          <w:bCs/>
          <w:noProof/>
        </w:rPr>
        <w:t>8</w:t>
      </w:r>
    </w:fldSimple>
  </w:p>
  <w:p w:rsidR="007B6C3F" w:rsidRDefault="007B6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27D8"/>
    <w:multiLevelType w:val="hybridMultilevel"/>
    <w:tmpl w:val="7DE083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7BDA"/>
    <w:multiLevelType w:val="hybridMultilevel"/>
    <w:tmpl w:val="617EA3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63D0F"/>
    <w:multiLevelType w:val="hybridMultilevel"/>
    <w:tmpl w:val="ED0A53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8521B"/>
    <w:multiLevelType w:val="hybridMultilevel"/>
    <w:tmpl w:val="7E4C88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96A0A"/>
    <w:multiLevelType w:val="hybridMultilevel"/>
    <w:tmpl w:val="1C649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826B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A6189"/>
    <w:multiLevelType w:val="hybridMultilevel"/>
    <w:tmpl w:val="FB50D15E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F26B1"/>
    <w:multiLevelType w:val="hybridMultilevel"/>
    <w:tmpl w:val="71D6B094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80"/>
    <w:rsid w:val="0000644D"/>
    <w:rsid w:val="00007F77"/>
    <w:rsid w:val="000246A4"/>
    <w:rsid w:val="00031F05"/>
    <w:rsid w:val="00050A00"/>
    <w:rsid w:val="00053DE4"/>
    <w:rsid w:val="00072233"/>
    <w:rsid w:val="0008308A"/>
    <w:rsid w:val="000A1299"/>
    <w:rsid w:val="000C4A91"/>
    <w:rsid w:val="000D4753"/>
    <w:rsid w:val="000E1231"/>
    <w:rsid w:val="000F1F4E"/>
    <w:rsid w:val="000F7A7A"/>
    <w:rsid w:val="00101E21"/>
    <w:rsid w:val="00120FA5"/>
    <w:rsid w:val="00122470"/>
    <w:rsid w:val="0012466C"/>
    <w:rsid w:val="00125D88"/>
    <w:rsid w:val="00127EE9"/>
    <w:rsid w:val="0013110A"/>
    <w:rsid w:val="00134C7D"/>
    <w:rsid w:val="001468FA"/>
    <w:rsid w:val="00160284"/>
    <w:rsid w:val="00161530"/>
    <w:rsid w:val="00162829"/>
    <w:rsid w:val="0018622F"/>
    <w:rsid w:val="00187117"/>
    <w:rsid w:val="00195681"/>
    <w:rsid w:val="00195C65"/>
    <w:rsid w:val="001A4BCD"/>
    <w:rsid w:val="001B144E"/>
    <w:rsid w:val="001B7994"/>
    <w:rsid w:val="001C2B87"/>
    <w:rsid w:val="001C40CA"/>
    <w:rsid w:val="001C6B46"/>
    <w:rsid w:val="001D5367"/>
    <w:rsid w:val="001F2C93"/>
    <w:rsid w:val="001F4572"/>
    <w:rsid w:val="00202F27"/>
    <w:rsid w:val="00207ED6"/>
    <w:rsid w:val="00211785"/>
    <w:rsid w:val="00212682"/>
    <w:rsid w:val="00223318"/>
    <w:rsid w:val="00226C50"/>
    <w:rsid w:val="00227BD6"/>
    <w:rsid w:val="00234BC6"/>
    <w:rsid w:val="002409DF"/>
    <w:rsid w:val="00242E1B"/>
    <w:rsid w:val="00243DAA"/>
    <w:rsid w:val="0024630B"/>
    <w:rsid w:val="00252EAB"/>
    <w:rsid w:val="002619D8"/>
    <w:rsid w:val="002635C9"/>
    <w:rsid w:val="002771AE"/>
    <w:rsid w:val="00280E45"/>
    <w:rsid w:val="0029338C"/>
    <w:rsid w:val="00296E75"/>
    <w:rsid w:val="002A15FB"/>
    <w:rsid w:val="002A2D61"/>
    <w:rsid w:val="002A34A9"/>
    <w:rsid w:val="002A7BE6"/>
    <w:rsid w:val="002B0F17"/>
    <w:rsid w:val="002B49F1"/>
    <w:rsid w:val="002D7F44"/>
    <w:rsid w:val="003031C9"/>
    <w:rsid w:val="00303FDB"/>
    <w:rsid w:val="00331CFE"/>
    <w:rsid w:val="003622CA"/>
    <w:rsid w:val="003632FC"/>
    <w:rsid w:val="003838D7"/>
    <w:rsid w:val="0038517A"/>
    <w:rsid w:val="0038781B"/>
    <w:rsid w:val="003A7E15"/>
    <w:rsid w:val="003C1D06"/>
    <w:rsid w:val="003D1822"/>
    <w:rsid w:val="003D57F8"/>
    <w:rsid w:val="003D6B3B"/>
    <w:rsid w:val="003E14D5"/>
    <w:rsid w:val="003F08CE"/>
    <w:rsid w:val="003F4274"/>
    <w:rsid w:val="003F6428"/>
    <w:rsid w:val="004004A3"/>
    <w:rsid w:val="0041047F"/>
    <w:rsid w:val="00413CC9"/>
    <w:rsid w:val="004245B9"/>
    <w:rsid w:val="00430F1B"/>
    <w:rsid w:val="0043115C"/>
    <w:rsid w:val="00432CAB"/>
    <w:rsid w:val="00444ABA"/>
    <w:rsid w:val="004462A1"/>
    <w:rsid w:val="00457022"/>
    <w:rsid w:val="00460BF6"/>
    <w:rsid w:val="00461CD4"/>
    <w:rsid w:val="00462A4E"/>
    <w:rsid w:val="00495CBE"/>
    <w:rsid w:val="004A4C7E"/>
    <w:rsid w:val="004B5D07"/>
    <w:rsid w:val="004C7A6C"/>
    <w:rsid w:val="004E14A8"/>
    <w:rsid w:val="004F39FC"/>
    <w:rsid w:val="004F4ED9"/>
    <w:rsid w:val="00517F3B"/>
    <w:rsid w:val="00534C04"/>
    <w:rsid w:val="00543B4D"/>
    <w:rsid w:val="00555650"/>
    <w:rsid w:val="00564FC1"/>
    <w:rsid w:val="00566431"/>
    <w:rsid w:val="00584B55"/>
    <w:rsid w:val="00590ED7"/>
    <w:rsid w:val="005A62EF"/>
    <w:rsid w:val="005A62FC"/>
    <w:rsid w:val="005C4371"/>
    <w:rsid w:val="005C4D64"/>
    <w:rsid w:val="005C7DD9"/>
    <w:rsid w:val="005D6804"/>
    <w:rsid w:val="005E3718"/>
    <w:rsid w:val="005E39D3"/>
    <w:rsid w:val="005F37B3"/>
    <w:rsid w:val="0061235E"/>
    <w:rsid w:val="00612AA2"/>
    <w:rsid w:val="00623186"/>
    <w:rsid w:val="00654AA1"/>
    <w:rsid w:val="00665176"/>
    <w:rsid w:val="00674AA1"/>
    <w:rsid w:val="006764A2"/>
    <w:rsid w:val="00686AB6"/>
    <w:rsid w:val="006B39D5"/>
    <w:rsid w:val="006F2136"/>
    <w:rsid w:val="0070166A"/>
    <w:rsid w:val="007102D2"/>
    <w:rsid w:val="00710C57"/>
    <w:rsid w:val="00717B06"/>
    <w:rsid w:val="00725A3A"/>
    <w:rsid w:val="00730D35"/>
    <w:rsid w:val="00751576"/>
    <w:rsid w:val="007552E8"/>
    <w:rsid w:val="00756835"/>
    <w:rsid w:val="0077201A"/>
    <w:rsid w:val="00773B45"/>
    <w:rsid w:val="00776780"/>
    <w:rsid w:val="00792180"/>
    <w:rsid w:val="007979EA"/>
    <w:rsid w:val="007B6C3F"/>
    <w:rsid w:val="008060F6"/>
    <w:rsid w:val="00816E14"/>
    <w:rsid w:val="00820BE0"/>
    <w:rsid w:val="008218F6"/>
    <w:rsid w:val="00822E3D"/>
    <w:rsid w:val="00833F3D"/>
    <w:rsid w:val="008447DB"/>
    <w:rsid w:val="0088590A"/>
    <w:rsid w:val="00890504"/>
    <w:rsid w:val="00892587"/>
    <w:rsid w:val="00893CA7"/>
    <w:rsid w:val="008A5DE8"/>
    <w:rsid w:val="008A6DEC"/>
    <w:rsid w:val="008C117A"/>
    <w:rsid w:val="008D1D63"/>
    <w:rsid w:val="008D2127"/>
    <w:rsid w:val="008E2FC2"/>
    <w:rsid w:val="008E580C"/>
    <w:rsid w:val="008E7FF8"/>
    <w:rsid w:val="008F0468"/>
    <w:rsid w:val="008F26BA"/>
    <w:rsid w:val="008F41AD"/>
    <w:rsid w:val="008F5988"/>
    <w:rsid w:val="008F64D6"/>
    <w:rsid w:val="0091055C"/>
    <w:rsid w:val="00914A95"/>
    <w:rsid w:val="009274C0"/>
    <w:rsid w:val="00930BB0"/>
    <w:rsid w:val="00933EB3"/>
    <w:rsid w:val="0093694F"/>
    <w:rsid w:val="009812C7"/>
    <w:rsid w:val="00992A68"/>
    <w:rsid w:val="00993FD5"/>
    <w:rsid w:val="009A0CC8"/>
    <w:rsid w:val="009A4107"/>
    <w:rsid w:val="009B1B5D"/>
    <w:rsid w:val="009B38DC"/>
    <w:rsid w:val="009B7676"/>
    <w:rsid w:val="009D03D9"/>
    <w:rsid w:val="009D15D5"/>
    <w:rsid w:val="009D3793"/>
    <w:rsid w:val="009E02F8"/>
    <w:rsid w:val="009E2184"/>
    <w:rsid w:val="009E4E7A"/>
    <w:rsid w:val="009F6312"/>
    <w:rsid w:val="00A02A82"/>
    <w:rsid w:val="00A12D43"/>
    <w:rsid w:val="00A17AD7"/>
    <w:rsid w:val="00A24B58"/>
    <w:rsid w:val="00A342DD"/>
    <w:rsid w:val="00A36BA4"/>
    <w:rsid w:val="00A45F81"/>
    <w:rsid w:val="00A52A55"/>
    <w:rsid w:val="00A619FC"/>
    <w:rsid w:val="00A7710F"/>
    <w:rsid w:val="00A8126A"/>
    <w:rsid w:val="00A842C6"/>
    <w:rsid w:val="00A8455A"/>
    <w:rsid w:val="00A9453A"/>
    <w:rsid w:val="00A94DC3"/>
    <w:rsid w:val="00A9637F"/>
    <w:rsid w:val="00A96380"/>
    <w:rsid w:val="00AB2D98"/>
    <w:rsid w:val="00AC2AAB"/>
    <w:rsid w:val="00AD0A81"/>
    <w:rsid w:val="00AD4AD4"/>
    <w:rsid w:val="00AF35F3"/>
    <w:rsid w:val="00AF497D"/>
    <w:rsid w:val="00AF7CF5"/>
    <w:rsid w:val="00B00A64"/>
    <w:rsid w:val="00B013D0"/>
    <w:rsid w:val="00B0629F"/>
    <w:rsid w:val="00B37E05"/>
    <w:rsid w:val="00B450AD"/>
    <w:rsid w:val="00B473ED"/>
    <w:rsid w:val="00B52886"/>
    <w:rsid w:val="00B53379"/>
    <w:rsid w:val="00B609BD"/>
    <w:rsid w:val="00B66F49"/>
    <w:rsid w:val="00B71903"/>
    <w:rsid w:val="00B75A44"/>
    <w:rsid w:val="00B80B7A"/>
    <w:rsid w:val="00B9018E"/>
    <w:rsid w:val="00B97705"/>
    <w:rsid w:val="00BA012F"/>
    <w:rsid w:val="00BA7E07"/>
    <w:rsid w:val="00BB12FB"/>
    <w:rsid w:val="00BB1C27"/>
    <w:rsid w:val="00BC4930"/>
    <w:rsid w:val="00BD4A64"/>
    <w:rsid w:val="00BE558A"/>
    <w:rsid w:val="00BF0128"/>
    <w:rsid w:val="00BF25CB"/>
    <w:rsid w:val="00C03433"/>
    <w:rsid w:val="00C073F5"/>
    <w:rsid w:val="00C1140B"/>
    <w:rsid w:val="00C124F4"/>
    <w:rsid w:val="00C16C77"/>
    <w:rsid w:val="00C31A95"/>
    <w:rsid w:val="00C37FF2"/>
    <w:rsid w:val="00C408A8"/>
    <w:rsid w:val="00C64AF0"/>
    <w:rsid w:val="00C65E0F"/>
    <w:rsid w:val="00C72055"/>
    <w:rsid w:val="00C74AE0"/>
    <w:rsid w:val="00C9249D"/>
    <w:rsid w:val="00C93561"/>
    <w:rsid w:val="00CA460E"/>
    <w:rsid w:val="00CA4644"/>
    <w:rsid w:val="00CB1672"/>
    <w:rsid w:val="00CC557E"/>
    <w:rsid w:val="00CD6B66"/>
    <w:rsid w:val="00D11ECB"/>
    <w:rsid w:val="00D21648"/>
    <w:rsid w:val="00D42A6C"/>
    <w:rsid w:val="00D57E4E"/>
    <w:rsid w:val="00D623EF"/>
    <w:rsid w:val="00D62CE3"/>
    <w:rsid w:val="00D71B5B"/>
    <w:rsid w:val="00D76452"/>
    <w:rsid w:val="00D80110"/>
    <w:rsid w:val="00D87099"/>
    <w:rsid w:val="00D90457"/>
    <w:rsid w:val="00DA00AC"/>
    <w:rsid w:val="00DA14D6"/>
    <w:rsid w:val="00DA4A17"/>
    <w:rsid w:val="00DB3A3F"/>
    <w:rsid w:val="00DB5ED0"/>
    <w:rsid w:val="00DC19E6"/>
    <w:rsid w:val="00DC2A9F"/>
    <w:rsid w:val="00DC6BF7"/>
    <w:rsid w:val="00DD07CB"/>
    <w:rsid w:val="00DD4B37"/>
    <w:rsid w:val="00DE15CC"/>
    <w:rsid w:val="00DE2711"/>
    <w:rsid w:val="00DE41E7"/>
    <w:rsid w:val="00DF3B47"/>
    <w:rsid w:val="00E05B02"/>
    <w:rsid w:val="00E124A7"/>
    <w:rsid w:val="00E15ACA"/>
    <w:rsid w:val="00E15E2A"/>
    <w:rsid w:val="00E211EE"/>
    <w:rsid w:val="00E316DA"/>
    <w:rsid w:val="00E34222"/>
    <w:rsid w:val="00E4437F"/>
    <w:rsid w:val="00E44E2B"/>
    <w:rsid w:val="00E4689E"/>
    <w:rsid w:val="00E54D8C"/>
    <w:rsid w:val="00E63995"/>
    <w:rsid w:val="00E81325"/>
    <w:rsid w:val="00E85DB1"/>
    <w:rsid w:val="00E9027E"/>
    <w:rsid w:val="00E95E46"/>
    <w:rsid w:val="00E96350"/>
    <w:rsid w:val="00ED0764"/>
    <w:rsid w:val="00ED7730"/>
    <w:rsid w:val="00EE0718"/>
    <w:rsid w:val="00EE3DE0"/>
    <w:rsid w:val="00EE55EB"/>
    <w:rsid w:val="00EF1C1A"/>
    <w:rsid w:val="00F11F28"/>
    <w:rsid w:val="00F16F24"/>
    <w:rsid w:val="00F21CCD"/>
    <w:rsid w:val="00F313C6"/>
    <w:rsid w:val="00F41E6D"/>
    <w:rsid w:val="00F46073"/>
    <w:rsid w:val="00F46206"/>
    <w:rsid w:val="00F466DD"/>
    <w:rsid w:val="00F5422D"/>
    <w:rsid w:val="00F5434B"/>
    <w:rsid w:val="00F6347C"/>
    <w:rsid w:val="00F80503"/>
    <w:rsid w:val="00F84A82"/>
    <w:rsid w:val="00F84EE2"/>
    <w:rsid w:val="00F91918"/>
    <w:rsid w:val="00F91D3A"/>
    <w:rsid w:val="00F937A0"/>
    <w:rsid w:val="00FA6824"/>
    <w:rsid w:val="00FB0850"/>
    <w:rsid w:val="00FC5356"/>
    <w:rsid w:val="00FC7B8E"/>
    <w:rsid w:val="00FD71A1"/>
    <w:rsid w:val="00FE60AC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767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B7676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rsid w:val="009B76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45F8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42A6C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2A6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F313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3C6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F313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3C6"/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5E3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reetke3-isticanje51">
    <w:name w:val="Tablica rešetke 3 - isticanje 51"/>
    <w:uiPriority w:val="99"/>
    <w:rsid w:val="00DC6B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428"/>
    <w:rPr>
      <w:rFonts w:ascii="Tahoma" w:hAnsi="Tahoma" w:cs="Tahoma"/>
      <w:sz w:val="16"/>
      <w:szCs w:val="16"/>
      <w:lang w:eastAsia="hr-HR"/>
    </w:rPr>
  </w:style>
  <w:style w:type="character" w:customStyle="1" w:styleId="fontstyle01">
    <w:name w:val="fontstyle01"/>
    <w:basedOn w:val="DefaultParagraphFont"/>
    <w:uiPriority w:val="99"/>
    <w:rsid w:val="004F4E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8</Pages>
  <Words>1920</Words>
  <Characters>10946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razdoblje 01.01. – 31.12.2016.</dc:title>
  <dc:subject/>
  <dc:creator>Dorjana Šorgo Musulin</dc:creator>
  <cp:keywords/>
  <dc:description/>
  <cp:lastModifiedBy>Korisnik</cp:lastModifiedBy>
  <cp:revision>9</cp:revision>
  <cp:lastPrinted>2019-02-15T07:22:00Z</cp:lastPrinted>
  <dcterms:created xsi:type="dcterms:W3CDTF">2019-02-15T06:59:00Z</dcterms:created>
  <dcterms:modified xsi:type="dcterms:W3CDTF">2019-02-15T12:09:00Z</dcterms:modified>
</cp:coreProperties>
</file>