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SUFINANCIRANJE PRIKLJUČENJA NA VODOOPSKRBNU MREŽU</w:t>
      </w:r>
    </w:p>
    <w:p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Općina Vladislavci je krajem 2017. godine donijela „Program poticanja uređenja naselja i demografske obnove na području Općine Vladislavci za razdoblje od 2017. do 2022 godine.  Jedna od odluka programa  je  sufinanciranje priključenja  stambenih objekata na vodoopskrbnu mrežu u iznosu od 1.000,00 kn. Osim sufinanciranja  u iznosu od 1.000,00 kn, sporazumom Općine Vladislavci i Vodovod-Osijek d.o.o. svim mještanima Općine Vladislavci  je omogućeno obročno plaćanje troškova izvođenja radova priključenja do najviše 24 mjesečna obroka. U 2022. godini donesena je Odluka </w:t>
      </w:r>
      <w:r>
        <w:rPr>
          <w:rFonts w:asciiTheme="minorHAnsi" w:hAnsiTheme="minorHAnsi" w:cstheme="minorHAnsi"/>
          <w:sz w:val="28"/>
          <w:szCs w:val="28"/>
        </w:rPr>
        <w:t>o poticanju uređenja naselja i demografske obnove na području Općine Vladislavci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za razdoblje od 2023. do 2027. godine</w:t>
      </w:r>
      <w:r>
        <w:rPr>
          <w:rFonts w:asciiTheme="minorHAnsi" w:hAnsiTheme="minorHAnsi" w:cstheme="minorHAnsi"/>
          <w:sz w:val="28"/>
          <w:szCs w:val="28"/>
        </w:rPr>
        <w:t>, kojom se nastavlja provođenje sufinanciranja priključenja na vodoopskrbnu mrežu za</w:t>
      </w:r>
      <w:r>
        <w:rPr>
          <w:rFonts w:asciiTheme="minorHAnsi" w:hAnsiTheme="minorHAnsi" w:cstheme="minorHAnsi"/>
          <w:sz w:val="28"/>
          <w:szCs w:val="28"/>
        </w:rPr>
        <w:t xml:space="preserve"> razdoblje od 2023. do 2027. godine</w:t>
      </w:r>
      <w:r>
        <w:rPr>
          <w:rFonts w:asciiTheme="minorHAnsi" w:hAnsiTheme="minorHAnsi" w:cstheme="minorHAnsi"/>
          <w:sz w:val="28"/>
          <w:szCs w:val="28"/>
        </w:rPr>
        <w:t>.</w:t>
      </w:r>
    </w:p>
    <w:p>
      <w:pPr>
        <w:pStyle w:val="Tijeloteksta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Sufinanciranje će se vršiti na način da će Vodovod-Osijek d.o.o. nakon sklopljenog ugovora s korisnikom usluge o priključenju (fizičkom osobom) na javni vodovod dostavi jedan primjerak ugovora, kao i račun za sufinancirani iznos Općini, na temelju kojeg će Općina sufinancirati priključenje na vodoopskrbnu mrežu, a korisnicima će za isti iznos biti umanjen račun.</w:t>
      </w:r>
    </w:p>
    <w:p>
      <w:pPr>
        <w:pStyle w:val="Tijeloteksta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Pravo na sufinanciranje  </w:t>
      </w:r>
      <w:r>
        <w:rPr>
          <w:rFonts w:asciiTheme="minorHAnsi" w:hAnsiTheme="minorHAnsi" w:cstheme="minorHAnsi"/>
          <w:b/>
          <w:bCs/>
          <w:sz w:val="28"/>
          <w:szCs w:val="28"/>
        </w:rPr>
        <w:t>ne može</w:t>
      </w:r>
      <w:r>
        <w:rPr>
          <w:rFonts w:asciiTheme="minorHAnsi" w:hAnsiTheme="minorHAnsi" w:cstheme="minorHAnsi"/>
          <w:sz w:val="28"/>
          <w:szCs w:val="28"/>
        </w:rPr>
        <w:t xml:space="preserve"> ostvariti fizička osoba za koju Jedinstveni upravni odjel Općine Vladislavci u postupku obrade zahtjeva utvrdi da Općini Vladislavci  duguje dospjelu obvezu na ime javnih i/ili nejavnih davanja.</w:t>
      </w:r>
    </w:p>
    <w:p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>Korisnik je u obvezi u roku od 12 mjeseci od dana zaključenja ugovora sa distributerom priključiti  svoju obiteljsku kuću/stan na vodoopskrbnu mrežu u suprotnom će Općina Vladislavci zatražiti povrat sredstava.</w:t>
      </w:r>
    </w:p>
    <w:p>
      <w:pPr>
        <w:pStyle w:val="Tijeloteksta"/>
        <w:jc w:val="both"/>
        <w:rPr>
          <w:rFonts w:asciiTheme="minorHAnsi" w:hAnsiTheme="minorHAnsi" w:cstheme="minorHAnsi"/>
          <w:sz w:val="28"/>
          <w:szCs w:val="28"/>
        </w:rPr>
      </w:pPr>
    </w:p>
    <w:p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Prihvatljivi troškovi:</w:t>
      </w:r>
    </w:p>
    <w:p>
      <w:pPr>
        <w:pStyle w:val="Odlomakpopisa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trošak priključka (rad i potreban materijal i  sl.) izvršen od strane distributera</w:t>
      </w:r>
      <w:r>
        <w:rPr>
          <w:rFonts w:asciiTheme="minorHAnsi" w:hAnsiTheme="minorHAnsi" w:cstheme="minorHAnsi"/>
          <w:sz w:val="28"/>
          <w:szCs w:val="28"/>
        </w:rPr>
        <w:t xml:space="preserve"> koji se sufinanciranju u visini od 130,00 eura po priključku</w:t>
      </w:r>
    </w:p>
    <w:p>
      <w:pPr>
        <w:pStyle w:val="Odlomakpopisa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trošak </w:t>
      </w:r>
      <w:proofErr w:type="spellStart"/>
      <w:r>
        <w:rPr>
          <w:rFonts w:asciiTheme="minorHAnsi" w:hAnsiTheme="minorHAnsi" w:cstheme="minorHAnsi"/>
          <w:sz w:val="28"/>
          <w:szCs w:val="28"/>
        </w:rPr>
        <w:t>tuneliranja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ispod javne površine (ceste) izvršen od strane distributera</w:t>
      </w:r>
      <w:r>
        <w:rPr>
          <w:rFonts w:asciiTheme="minorHAnsi" w:hAnsiTheme="minorHAnsi" w:cstheme="minorHAnsi"/>
          <w:sz w:val="28"/>
          <w:szCs w:val="28"/>
        </w:rPr>
        <w:t xml:space="preserve"> koji se sufinanciranju u visini od 75,00 eura po priključku.</w:t>
      </w:r>
    </w:p>
    <w:p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Sve informacije i zahtjevi o priključenju na vodoopskrbnu mrežu se mogu dobiti na adresi Vodovod-Osijek d.o.o., Poljski put 1, 31000 Osijek, </w:t>
      </w:r>
      <w:proofErr w:type="spellStart"/>
      <w:r>
        <w:rPr>
          <w:rFonts w:asciiTheme="minorHAnsi" w:hAnsiTheme="minorHAnsi" w:cstheme="minorHAnsi"/>
          <w:sz w:val="28"/>
          <w:szCs w:val="28"/>
        </w:rPr>
        <w:t>tel</w:t>
      </w:r>
      <w:proofErr w:type="spellEnd"/>
      <w:r>
        <w:rPr>
          <w:rFonts w:asciiTheme="minorHAnsi" w:hAnsiTheme="minorHAnsi" w:cstheme="minorHAnsi"/>
          <w:sz w:val="28"/>
          <w:szCs w:val="28"/>
        </w:rPr>
        <w:t>: 031/330-100</w:t>
      </w:r>
    </w:p>
    <w:p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</w:p>
    <w:p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hr-HR"/>
        </w:rPr>
      </w:pPr>
    </w:p>
    <w:p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hr-HR"/>
        </w:rPr>
      </w:pPr>
    </w:p>
    <w:p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hr-HR"/>
        </w:rPr>
      </w:pPr>
    </w:p>
    <w:p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hr-HR"/>
        </w:rPr>
      </w:pPr>
    </w:p>
    <w:p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hr-HR"/>
        </w:rPr>
      </w:pPr>
    </w:p>
    <w:p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hr-HR"/>
        </w:rPr>
      </w:pPr>
    </w:p>
    <w:p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hr-HR"/>
        </w:rPr>
      </w:pPr>
    </w:p>
    <w:p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hr-HR"/>
        </w:rPr>
      </w:pPr>
      <w:r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hr-HR"/>
        </w:rPr>
        <w:lastRenderedPageBreak/>
        <w:t>HODOGRAM AKTIVNOSTI</w:t>
      </w:r>
    </w:p>
    <w:p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> </w:t>
      </w:r>
    </w:p>
    <w:p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>1. Korisnik podnosi zahtjev u VODOVOD-OSIJEK sa popratnom dokumentima</w:t>
      </w:r>
    </w:p>
    <w:p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 xml:space="preserve">2. RJ Mreža sačini izvid i na temelju njega ispostavi ponudu </w:t>
      </w:r>
    </w:p>
    <w:p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 xml:space="preserve">3. Referentica Vodovod-Osijek  komunicira sa Korisnikom, </w:t>
      </w:r>
    </w:p>
    <w:p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 xml:space="preserve">        - potpisuju se ugovori, </w:t>
      </w:r>
    </w:p>
    <w:p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 xml:space="preserve">        - Korisnik preuzima uplatnice sa bar kodom za svoj dio koji plaća na rate</w:t>
      </w:r>
    </w:p>
    <w:p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 xml:space="preserve">        - Korisnik preuzima asignaciju koju je obvezan dostaviti u Općinu </w:t>
      </w:r>
    </w:p>
    <w:p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>4. RJ Mreža po dostavi potpisane asignacije kreće u izvođenje radova i ispostavlja račun s ugovorenim rokom  i načinom plaćanja</w:t>
      </w:r>
    </w:p>
    <w:p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>
      <w:pPr>
        <w:pStyle w:val="Tijeloteksta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Plaćanje rata putem uplatnica sa bar kodom moguće je bez naknade na slijedećim mjestima: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8"/>
        <w:gridCol w:w="829"/>
        <w:gridCol w:w="4115"/>
      </w:tblGrid>
      <w:tr>
        <w:tc>
          <w:tcPr>
            <w:tcW w:w="4219" w:type="dxa"/>
          </w:tcPr>
          <w:p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FINA</w:t>
            </w:r>
          </w:p>
          <w:p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HRVATSKA POŠTA</w:t>
            </w:r>
          </w:p>
          <w:p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SBERBANKA</w:t>
            </w:r>
          </w:p>
          <w:p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PRIVREDNA BANKA ZAGREB</w:t>
            </w:r>
          </w:p>
          <w:p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OTP BANKA</w:t>
            </w:r>
          </w:p>
        </w:tc>
        <w:tc>
          <w:tcPr>
            <w:tcW w:w="851" w:type="dxa"/>
          </w:tcPr>
          <w:p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4218" w:type="dxa"/>
          </w:tcPr>
          <w:p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KONZUM</w:t>
            </w:r>
          </w:p>
          <w:p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TISAK</w:t>
            </w:r>
          </w:p>
          <w:p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PETROL d.o.o.</w:t>
            </w:r>
          </w:p>
          <w:p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CRODUX DERIVATI d.o.o.</w:t>
            </w:r>
          </w:p>
          <w:p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>
      <w:pPr>
        <w:pStyle w:val="Tijeloteksta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>
      <w:pgSz w:w="11906" w:h="16838"/>
      <w:pgMar w:top="284" w:right="1417" w:bottom="142" w:left="1417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F6D59"/>
    <w:multiLevelType w:val="hybridMultilevel"/>
    <w:tmpl w:val="8948FC5C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905868">
    <w:abstractNumId w:val="0"/>
  </w:num>
  <w:num w:numId="2" w16cid:durableId="1746874902">
    <w:abstractNumId w:val="1"/>
  </w:num>
  <w:num w:numId="3" w16cid:durableId="1278291861">
    <w:abstractNumId w:val="2"/>
  </w:num>
  <w:num w:numId="4" w16cid:durableId="1718965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180CE6-CC54-403F-9627-CF4FF2E2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font290"/>
      <w:color w:val="00000A"/>
      <w:kern w:val="1"/>
      <w:sz w:val="22"/>
      <w:szCs w:val="22"/>
      <w:lang w:eastAsia="zh-CN"/>
    </w:rPr>
  </w:style>
  <w:style w:type="paragraph" w:styleId="Naslov1">
    <w:name w:val="heading 1"/>
    <w:basedOn w:val="Heading"/>
    <w:next w:val="Tijeloteksta"/>
    <w:qFormat/>
    <w:pPr>
      <w:tabs>
        <w:tab w:val="num" w:pos="0"/>
      </w:tabs>
      <w:ind w:left="432" w:hanging="432"/>
      <w:outlineLvl w:val="0"/>
    </w:pPr>
  </w:style>
  <w:style w:type="paragraph" w:styleId="Naslov2">
    <w:name w:val="heading 2"/>
    <w:basedOn w:val="Heading"/>
    <w:next w:val="Tijeloteksta"/>
    <w:qFormat/>
    <w:pPr>
      <w:tabs>
        <w:tab w:val="num" w:pos="0"/>
      </w:tabs>
      <w:ind w:left="576" w:hanging="576"/>
      <w:outlineLvl w:val="1"/>
    </w:pPr>
  </w:style>
  <w:style w:type="paragraph" w:styleId="Naslov3">
    <w:name w:val="heading 3"/>
    <w:basedOn w:val="Heading"/>
    <w:next w:val="Tijeloteksta"/>
    <w:qFormat/>
    <w:pPr>
      <w:tabs>
        <w:tab w:val="num" w:pos="0"/>
      </w:tabs>
      <w:ind w:left="720" w:hanging="720"/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Zadanifontodlomka1">
    <w:name w:val="Zadani font odlomka1"/>
  </w:style>
  <w:style w:type="character" w:customStyle="1" w:styleId="Zadanifontodlomka2">
    <w:name w:val="Zadani font odlomka2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pisslike2">
    <w:name w:val="Opis slik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customStyle="1" w:styleId="Quotations">
    <w:name w:val="Quotations"/>
    <w:basedOn w:val="Normal"/>
  </w:style>
  <w:style w:type="paragraph" w:customStyle="1" w:styleId="Naslov10">
    <w:name w:val="Naslov1"/>
    <w:basedOn w:val="Heading"/>
  </w:style>
  <w:style w:type="paragraph" w:styleId="Podnaslov">
    <w:name w:val="Subtitle"/>
    <w:basedOn w:val="Heading"/>
    <w:next w:val="Tijeloteksta"/>
    <w:qFormat/>
  </w:style>
  <w:style w:type="paragraph" w:styleId="StandardWeb">
    <w:name w:val="Normal (Web)"/>
    <w:basedOn w:val="Normal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Vodovod Osijek d.o.o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Fuis</dc:creator>
  <cp:lastModifiedBy>OpcinaPCY</cp:lastModifiedBy>
  <cp:revision>4</cp:revision>
  <cp:lastPrinted>2018-02-22T08:31:00Z</cp:lastPrinted>
  <dcterms:created xsi:type="dcterms:W3CDTF">2021-01-07T09:43:00Z</dcterms:created>
  <dcterms:modified xsi:type="dcterms:W3CDTF">2023-01-09T13:03:00Z</dcterms:modified>
</cp:coreProperties>
</file>