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AA21" w14:textId="2BB1C709" w:rsidR="002F3A20" w:rsidRPr="00E83792" w:rsidRDefault="002F3A20" w:rsidP="00E83792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bookmarkStart w:id="0" w:name="_Hlk93660839"/>
      <w:bookmarkStart w:id="1" w:name="_Hlk90293236"/>
      <w:r w:rsidRPr="00453807">
        <w:rPr>
          <w:rFonts w:ascii="Times New Roman" w:hAnsi="Times New Roman"/>
          <w:szCs w:val="24"/>
        </w:rPr>
        <w:t xml:space="preserve">Temeljem članka </w:t>
      </w:r>
      <w:r>
        <w:rPr>
          <w:rFonts w:ascii="Times New Roman" w:hAnsi="Times New Roman"/>
          <w:szCs w:val="24"/>
        </w:rPr>
        <w:t>31</w:t>
      </w:r>
      <w:r w:rsidRPr="00453807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stavka 12. </w:t>
      </w:r>
      <w:r w:rsidRPr="00453807">
        <w:rPr>
          <w:rFonts w:ascii="Times New Roman" w:hAnsi="Times New Roman"/>
          <w:szCs w:val="24"/>
        </w:rPr>
        <w:t xml:space="preserve">Zakona o </w:t>
      </w:r>
      <w:r>
        <w:rPr>
          <w:rFonts w:ascii="Times New Roman" w:hAnsi="Times New Roman"/>
          <w:szCs w:val="24"/>
        </w:rPr>
        <w:t>poljoprivrednom zemljištu</w:t>
      </w:r>
      <w:r w:rsidRPr="00453807">
        <w:rPr>
          <w:rFonts w:ascii="Times New Roman" w:hAnsi="Times New Roman"/>
          <w:szCs w:val="24"/>
        </w:rPr>
        <w:t xml:space="preserve"> («Narodne novine» broj </w:t>
      </w:r>
      <w:r>
        <w:rPr>
          <w:rFonts w:ascii="Times New Roman" w:hAnsi="Times New Roman"/>
          <w:szCs w:val="24"/>
        </w:rPr>
        <w:t>20//18, 115/18, 98/19</w:t>
      </w:r>
      <w:r w:rsidRPr="00453807">
        <w:rPr>
          <w:rFonts w:ascii="Times New Roman" w:hAnsi="Times New Roman"/>
          <w:szCs w:val="24"/>
        </w:rPr>
        <w:t>)</w:t>
      </w:r>
      <w:r w:rsidRPr="00453807">
        <w:rPr>
          <w:rFonts w:ascii="Times New Roman" w:hAnsi="Times New Roman"/>
        </w:rPr>
        <w:t xml:space="preserve"> </w:t>
      </w:r>
      <w:bookmarkEnd w:id="1"/>
      <w:r w:rsidRPr="00453807">
        <w:rPr>
          <w:rFonts w:ascii="Times New Roman" w:hAnsi="Times New Roman"/>
          <w:szCs w:val="24"/>
        </w:rPr>
        <w:t>i članka 30. Statuta Općine Vladislavci („Službeni glasnik“ Općine Vladislavci broj 3/13</w:t>
      </w:r>
      <w:r>
        <w:rPr>
          <w:rFonts w:ascii="Times New Roman" w:hAnsi="Times New Roman"/>
          <w:szCs w:val="24"/>
        </w:rPr>
        <w:t xml:space="preserve">, </w:t>
      </w:r>
      <w:r w:rsidRPr="00453807">
        <w:rPr>
          <w:rFonts w:ascii="Times New Roman" w:hAnsi="Times New Roman"/>
          <w:szCs w:val="24"/>
        </w:rPr>
        <w:t>3/17</w:t>
      </w:r>
      <w:r>
        <w:rPr>
          <w:rFonts w:ascii="Times New Roman" w:hAnsi="Times New Roman"/>
          <w:szCs w:val="24"/>
        </w:rPr>
        <w:t xml:space="preserve"> i 2/18, 4/20, 8/20 i 2/21</w:t>
      </w:r>
      <w:r w:rsidRPr="00453807">
        <w:rPr>
          <w:rFonts w:ascii="Times New Roman" w:hAnsi="Times New Roman"/>
          <w:szCs w:val="24"/>
        </w:rPr>
        <w:t>),</w:t>
      </w:r>
      <w:r w:rsidR="00E83792">
        <w:rPr>
          <w:rFonts w:ascii="Times New Roman" w:hAnsi="Times New Roman"/>
          <w:szCs w:val="24"/>
        </w:rPr>
        <w:t xml:space="preserve">te objavljenog Javnog natječaja za zakup poljoprivrednog zemljišta u vlasništvu Republike Hrvatske na području Općine Vladislavci KLASA: </w:t>
      </w:r>
      <w:r w:rsidR="00E83792" w:rsidRPr="00E83792">
        <w:rPr>
          <w:rFonts w:ascii="Times New Roman" w:hAnsi="Times New Roman"/>
          <w:szCs w:val="24"/>
        </w:rPr>
        <w:t>940-04/21-02/04</w:t>
      </w:r>
      <w:r w:rsidR="00E83792">
        <w:rPr>
          <w:rFonts w:ascii="Times New Roman" w:hAnsi="Times New Roman"/>
          <w:szCs w:val="24"/>
        </w:rPr>
        <w:t xml:space="preserve">, </w:t>
      </w:r>
      <w:r w:rsidR="00E83792" w:rsidRPr="00E83792">
        <w:rPr>
          <w:rFonts w:ascii="Times New Roman" w:hAnsi="Times New Roman"/>
          <w:szCs w:val="24"/>
        </w:rPr>
        <w:t>URBROJ: 2158/07-01-21-24</w:t>
      </w:r>
      <w:r w:rsidR="00E83792">
        <w:rPr>
          <w:rFonts w:ascii="Times New Roman" w:hAnsi="Times New Roman"/>
          <w:szCs w:val="24"/>
        </w:rPr>
        <w:t xml:space="preserve"> od </w:t>
      </w:r>
      <w:r w:rsidR="00E83792" w:rsidRPr="00E83792">
        <w:rPr>
          <w:rFonts w:ascii="Times New Roman" w:hAnsi="Times New Roman"/>
          <w:szCs w:val="24"/>
        </w:rPr>
        <w:t>13. rujna 2021.</w:t>
      </w:r>
      <w:r w:rsidR="00E83792">
        <w:rPr>
          <w:rFonts w:ascii="Times New Roman" w:hAnsi="Times New Roman"/>
          <w:szCs w:val="24"/>
        </w:rPr>
        <w:t xml:space="preserve"> </w:t>
      </w:r>
      <w:r w:rsidRPr="00453807">
        <w:rPr>
          <w:rFonts w:ascii="Times New Roman" w:hAnsi="Times New Roman"/>
          <w:szCs w:val="24"/>
        </w:rPr>
        <w:t xml:space="preserve"> Općinsko vijeće Općine Vladislavci na svojoj </w:t>
      </w:r>
      <w:r>
        <w:rPr>
          <w:rFonts w:ascii="Times New Roman" w:hAnsi="Times New Roman"/>
          <w:szCs w:val="24"/>
        </w:rPr>
        <w:t>12</w:t>
      </w:r>
      <w:r w:rsidRPr="00453807">
        <w:rPr>
          <w:rFonts w:ascii="Times New Roman" w:hAnsi="Times New Roman"/>
          <w:szCs w:val="24"/>
        </w:rPr>
        <w:t>. sjednici održanoj dana</w:t>
      </w:r>
      <w:r>
        <w:rPr>
          <w:rFonts w:ascii="Times New Roman" w:hAnsi="Times New Roman"/>
          <w:szCs w:val="24"/>
        </w:rPr>
        <w:t xml:space="preserve"> </w:t>
      </w:r>
      <w:r w:rsidR="00DB456C">
        <w:rPr>
          <w:rFonts w:ascii="Times New Roman" w:hAnsi="Times New Roman"/>
          <w:szCs w:val="24"/>
        </w:rPr>
        <w:t>28</w:t>
      </w:r>
      <w:r>
        <w:rPr>
          <w:rFonts w:ascii="Times New Roman" w:hAnsi="Times New Roman"/>
          <w:szCs w:val="24"/>
        </w:rPr>
        <w:t xml:space="preserve"> . </w:t>
      </w:r>
      <w:r w:rsidR="00D976AF">
        <w:rPr>
          <w:rFonts w:ascii="Times New Roman" w:hAnsi="Times New Roman"/>
          <w:szCs w:val="24"/>
        </w:rPr>
        <w:t xml:space="preserve">veljače </w:t>
      </w:r>
      <w:r>
        <w:rPr>
          <w:rFonts w:ascii="Times New Roman" w:hAnsi="Times New Roman"/>
          <w:szCs w:val="24"/>
        </w:rPr>
        <w:t>2022</w:t>
      </w:r>
      <w:r w:rsidRPr="00453807">
        <w:rPr>
          <w:rFonts w:ascii="Times New Roman" w:hAnsi="Times New Roman"/>
          <w:szCs w:val="24"/>
        </w:rPr>
        <w:t>. godine, donosi</w:t>
      </w:r>
    </w:p>
    <w:p w14:paraId="7B2DB2C3" w14:textId="77777777" w:rsidR="002F3A20" w:rsidRPr="00453807" w:rsidRDefault="002F3A20" w:rsidP="002F3A20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232FEFEF" w14:textId="77777777" w:rsidR="002F3A20" w:rsidRPr="00453807" w:rsidRDefault="002F3A20" w:rsidP="002F3A20">
      <w:pPr>
        <w:pStyle w:val="Tijeloteksta3"/>
        <w:tabs>
          <w:tab w:val="left" w:pos="0"/>
          <w:tab w:val="left" w:pos="709"/>
        </w:tabs>
        <w:rPr>
          <w:rFonts w:ascii="Times New Roman" w:hAnsi="Times New Roman"/>
        </w:rPr>
      </w:pPr>
    </w:p>
    <w:p w14:paraId="01145881" w14:textId="29FA6000" w:rsidR="002F3A20" w:rsidRPr="00B51EA4" w:rsidRDefault="009978B0" w:rsidP="002F3A20">
      <w:pPr>
        <w:pStyle w:val="Tijeloteksta3"/>
        <w:tabs>
          <w:tab w:val="left" w:pos="0"/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978B0">
        <w:rPr>
          <w:rFonts w:ascii="Times New Roman" w:hAnsi="Times New Roman"/>
          <w:b/>
          <w:sz w:val="28"/>
          <w:szCs w:val="28"/>
        </w:rPr>
        <w:t>ZAKLJUČAK</w:t>
      </w:r>
    </w:p>
    <w:bookmarkEnd w:id="0"/>
    <w:p w14:paraId="3ACBD94D" w14:textId="77777777" w:rsidR="00C903AB" w:rsidRDefault="00E83792" w:rsidP="00C903AB">
      <w:pPr>
        <w:jc w:val="center"/>
        <w:rPr>
          <w:b/>
        </w:rPr>
      </w:pPr>
      <w:r w:rsidRPr="00E83792">
        <w:rPr>
          <w:b/>
        </w:rPr>
        <w:t xml:space="preserve">o poništenju dijela natječaja za zakup poljoprivrednog zemljišta u </w:t>
      </w:r>
    </w:p>
    <w:p w14:paraId="20D7396E" w14:textId="77777777" w:rsidR="00C903AB" w:rsidRDefault="00C903AB" w:rsidP="00C903AB">
      <w:pPr>
        <w:jc w:val="center"/>
        <w:rPr>
          <w:b/>
        </w:rPr>
      </w:pPr>
    </w:p>
    <w:p w14:paraId="775127AC" w14:textId="77777777" w:rsidR="00C903AB" w:rsidRDefault="00C903AB" w:rsidP="00C903AB">
      <w:pPr>
        <w:jc w:val="center"/>
        <w:rPr>
          <w:b/>
        </w:rPr>
      </w:pPr>
      <w:r w:rsidRPr="00C903AB">
        <w:rPr>
          <w:b/>
        </w:rPr>
        <w:t>vlasništvu RH na području Općine Vladislavci</w:t>
      </w:r>
    </w:p>
    <w:p w14:paraId="69BC6EEC" w14:textId="77777777" w:rsidR="00C903AB" w:rsidRDefault="00C903AB" w:rsidP="00C903AB">
      <w:pPr>
        <w:jc w:val="center"/>
        <w:rPr>
          <w:b/>
        </w:rPr>
      </w:pPr>
    </w:p>
    <w:p w14:paraId="5C76FE58" w14:textId="77777777" w:rsidR="00C903AB" w:rsidRDefault="00C903AB" w:rsidP="00C903AB">
      <w:pPr>
        <w:jc w:val="center"/>
        <w:rPr>
          <w:b/>
        </w:rPr>
      </w:pPr>
    </w:p>
    <w:p w14:paraId="0A7BB578" w14:textId="77777777" w:rsidR="00C903AB" w:rsidRPr="009A6AF6" w:rsidRDefault="00C903AB" w:rsidP="00C903AB">
      <w:pPr>
        <w:jc w:val="center"/>
        <w:rPr>
          <w:b/>
        </w:rPr>
      </w:pPr>
      <w:r w:rsidRPr="009A6AF6">
        <w:rPr>
          <w:b/>
        </w:rPr>
        <w:t xml:space="preserve">Članak 1. </w:t>
      </w:r>
    </w:p>
    <w:p w14:paraId="46ED632F" w14:textId="77777777" w:rsidR="00C903AB" w:rsidRDefault="00C903AB" w:rsidP="00C903AB">
      <w:pPr>
        <w:jc w:val="center"/>
        <w:rPr>
          <w:bCs/>
        </w:rPr>
      </w:pPr>
    </w:p>
    <w:p w14:paraId="0B6469D0" w14:textId="77777777" w:rsidR="00C903AB" w:rsidRDefault="00C903AB" w:rsidP="00BE27B5">
      <w:pPr>
        <w:jc w:val="both"/>
        <w:rPr>
          <w:bCs/>
        </w:rPr>
      </w:pPr>
      <w:r>
        <w:rPr>
          <w:bCs/>
        </w:rPr>
        <w:t xml:space="preserve">Poništava se točka Javnog natječaja </w:t>
      </w:r>
      <w:r w:rsidRPr="00C903AB">
        <w:rPr>
          <w:bCs/>
        </w:rPr>
        <w:t>za zakup poljoprivrednog zemljišta u vlasništvu Republike Hrvatske</w:t>
      </w:r>
      <w:r>
        <w:rPr>
          <w:bCs/>
        </w:rPr>
        <w:t xml:space="preserve"> </w:t>
      </w:r>
      <w:r w:rsidRPr="00C903AB">
        <w:rPr>
          <w:bCs/>
        </w:rPr>
        <w:t>na području Općine Vladislavci</w:t>
      </w:r>
      <w:r>
        <w:rPr>
          <w:bCs/>
        </w:rPr>
        <w:t xml:space="preserve"> za niže navedene čestice:</w:t>
      </w:r>
    </w:p>
    <w:p w14:paraId="679363E1" w14:textId="77777777" w:rsidR="00BE27B5" w:rsidRDefault="00BE27B5" w:rsidP="00BE27B5">
      <w:pPr>
        <w:jc w:val="both"/>
        <w:rPr>
          <w:bCs/>
        </w:rPr>
      </w:pPr>
    </w:p>
    <w:p w14:paraId="69069206" w14:textId="77777777" w:rsidR="00BE27B5" w:rsidRDefault="00BE27B5" w:rsidP="00BE27B5">
      <w:pPr>
        <w:jc w:val="both"/>
        <w:rPr>
          <w:bCs/>
        </w:rPr>
      </w:pPr>
    </w:p>
    <w:p w14:paraId="07500705" w14:textId="77777777" w:rsidR="0030236A" w:rsidRDefault="0030236A" w:rsidP="00BE27B5">
      <w:pPr>
        <w:jc w:val="both"/>
        <w:rPr>
          <w:b/>
        </w:rPr>
      </w:pPr>
    </w:p>
    <w:p w14:paraId="79441DF8" w14:textId="77777777" w:rsidR="0030236A" w:rsidRDefault="0030236A" w:rsidP="00BE27B5">
      <w:pPr>
        <w:jc w:val="both"/>
        <w:rPr>
          <w:b/>
        </w:rPr>
      </w:pPr>
    </w:p>
    <w:p w14:paraId="0E9CDCF3" w14:textId="77777777" w:rsidR="0030236A" w:rsidRDefault="0030236A" w:rsidP="00BE27B5">
      <w:pPr>
        <w:jc w:val="both"/>
        <w:rPr>
          <w:b/>
        </w:rPr>
      </w:pPr>
    </w:p>
    <w:p w14:paraId="334592E1" w14:textId="77777777" w:rsidR="0030236A" w:rsidRDefault="0030236A" w:rsidP="00BE27B5">
      <w:pPr>
        <w:jc w:val="both"/>
        <w:rPr>
          <w:b/>
        </w:rPr>
      </w:pPr>
    </w:p>
    <w:p w14:paraId="6FB2BD4F" w14:textId="77777777" w:rsidR="0030236A" w:rsidRDefault="0030236A" w:rsidP="00BE27B5">
      <w:pPr>
        <w:jc w:val="both"/>
        <w:rPr>
          <w:b/>
        </w:rPr>
      </w:pPr>
    </w:p>
    <w:p w14:paraId="4B0FDE52" w14:textId="77777777" w:rsidR="0030236A" w:rsidRDefault="0030236A" w:rsidP="00BE27B5">
      <w:pPr>
        <w:jc w:val="both"/>
        <w:rPr>
          <w:b/>
        </w:rPr>
      </w:pPr>
    </w:p>
    <w:p w14:paraId="7A01728F" w14:textId="77777777" w:rsidR="0030236A" w:rsidRDefault="0030236A" w:rsidP="00BE27B5">
      <w:pPr>
        <w:jc w:val="both"/>
        <w:rPr>
          <w:b/>
        </w:rPr>
      </w:pPr>
    </w:p>
    <w:p w14:paraId="7AD69D20" w14:textId="77777777" w:rsidR="0030236A" w:rsidRDefault="0030236A" w:rsidP="00BE27B5">
      <w:pPr>
        <w:jc w:val="both"/>
        <w:rPr>
          <w:b/>
        </w:rPr>
      </w:pPr>
    </w:p>
    <w:p w14:paraId="1A32D1BB" w14:textId="77777777" w:rsidR="0030236A" w:rsidRDefault="0030236A" w:rsidP="00BE27B5">
      <w:pPr>
        <w:jc w:val="both"/>
        <w:rPr>
          <w:b/>
        </w:rPr>
      </w:pPr>
    </w:p>
    <w:p w14:paraId="0BAA63A3" w14:textId="77777777" w:rsidR="0030236A" w:rsidRDefault="0030236A" w:rsidP="00BE27B5">
      <w:pPr>
        <w:jc w:val="both"/>
        <w:rPr>
          <w:b/>
        </w:rPr>
      </w:pPr>
    </w:p>
    <w:p w14:paraId="4AB01991" w14:textId="77777777" w:rsidR="0030236A" w:rsidRDefault="0030236A" w:rsidP="00BE27B5">
      <w:pPr>
        <w:jc w:val="both"/>
        <w:rPr>
          <w:b/>
        </w:rPr>
      </w:pPr>
    </w:p>
    <w:p w14:paraId="690FFFB7" w14:textId="77777777" w:rsidR="0030236A" w:rsidRDefault="0030236A" w:rsidP="00BE27B5">
      <w:pPr>
        <w:jc w:val="both"/>
        <w:rPr>
          <w:b/>
        </w:rPr>
      </w:pPr>
    </w:p>
    <w:p w14:paraId="02BF8BA5" w14:textId="77777777" w:rsidR="0030236A" w:rsidRDefault="0030236A" w:rsidP="00BE27B5">
      <w:pPr>
        <w:jc w:val="both"/>
        <w:rPr>
          <w:b/>
        </w:rPr>
      </w:pPr>
    </w:p>
    <w:p w14:paraId="4B234AD9" w14:textId="77777777" w:rsidR="0030236A" w:rsidRDefault="0030236A" w:rsidP="00BE27B5">
      <w:pPr>
        <w:jc w:val="both"/>
        <w:rPr>
          <w:b/>
        </w:rPr>
      </w:pPr>
    </w:p>
    <w:p w14:paraId="7B875E23" w14:textId="77777777" w:rsidR="0030236A" w:rsidRDefault="0030236A" w:rsidP="00BE27B5">
      <w:pPr>
        <w:jc w:val="both"/>
        <w:rPr>
          <w:b/>
        </w:rPr>
      </w:pPr>
    </w:p>
    <w:p w14:paraId="35C49C58" w14:textId="77777777" w:rsidR="0030236A" w:rsidRDefault="0030236A" w:rsidP="00BE27B5">
      <w:pPr>
        <w:jc w:val="both"/>
        <w:rPr>
          <w:b/>
        </w:rPr>
      </w:pPr>
    </w:p>
    <w:p w14:paraId="10C7174D" w14:textId="77777777" w:rsidR="0030236A" w:rsidRDefault="0030236A" w:rsidP="00BE27B5">
      <w:pPr>
        <w:jc w:val="both"/>
        <w:rPr>
          <w:b/>
        </w:rPr>
      </w:pPr>
    </w:p>
    <w:p w14:paraId="5DCD5F5F" w14:textId="77777777" w:rsidR="0030236A" w:rsidRDefault="0030236A" w:rsidP="00BE27B5">
      <w:pPr>
        <w:jc w:val="both"/>
        <w:rPr>
          <w:b/>
        </w:rPr>
      </w:pPr>
    </w:p>
    <w:p w14:paraId="1F3EC761" w14:textId="77777777" w:rsidR="0030236A" w:rsidRDefault="0030236A" w:rsidP="00BE27B5">
      <w:pPr>
        <w:jc w:val="both"/>
        <w:rPr>
          <w:b/>
        </w:rPr>
      </w:pPr>
    </w:p>
    <w:p w14:paraId="5AFED412" w14:textId="77777777" w:rsidR="0030236A" w:rsidRDefault="0030236A" w:rsidP="00BE27B5">
      <w:pPr>
        <w:jc w:val="both"/>
        <w:rPr>
          <w:b/>
        </w:rPr>
      </w:pPr>
    </w:p>
    <w:p w14:paraId="01E1EB3B" w14:textId="77777777" w:rsidR="0030236A" w:rsidRDefault="0030236A" w:rsidP="00BE27B5">
      <w:pPr>
        <w:jc w:val="both"/>
        <w:rPr>
          <w:b/>
        </w:rPr>
      </w:pPr>
    </w:p>
    <w:p w14:paraId="2EBD1232" w14:textId="6B1FE6F8" w:rsidR="0030236A" w:rsidRDefault="0030236A" w:rsidP="00BE27B5">
      <w:pPr>
        <w:jc w:val="both"/>
        <w:rPr>
          <w:b/>
        </w:rPr>
        <w:sectPr w:rsidR="003023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B6128" w14:textId="0AB0D19C" w:rsidR="00BE27B5" w:rsidRPr="00BE27B5" w:rsidRDefault="00BE27B5" w:rsidP="00BE27B5">
      <w:pPr>
        <w:jc w:val="both"/>
        <w:rPr>
          <w:b/>
        </w:rPr>
      </w:pPr>
    </w:p>
    <w:p w14:paraId="0BF47756" w14:textId="77777777" w:rsidR="0030236A" w:rsidRPr="0030236A" w:rsidRDefault="0030236A" w:rsidP="0030236A">
      <w:pPr>
        <w:jc w:val="both"/>
        <w:rPr>
          <w:b/>
        </w:rPr>
      </w:pPr>
      <w:r w:rsidRPr="0030236A">
        <w:rPr>
          <w:b/>
        </w:rPr>
        <w:t>Prilog 1</w:t>
      </w:r>
    </w:p>
    <w:p w14:paraId="37AA6807" w14:textId="77777777" w:rsidR="0030236A" w:rsidRDefault="00BE27B5" w:rsidP="00BE27B5">
      <w:pPr>
        <w:jc w:val="both"/>
        <w:rPr>
          <w:b/>
        </w:rPr>
      </w:pPr>
      <w:r w:rsidRPr="00BE27B5">
        <w:rPr>
          <w:b/>
        </w:rPr>
        <w:t>Tablica 1 - rok od 25 godina</w:t>
      </w:r>
    </w:p>
    <w:p w14:paraId="1A897B28" w14:textId="77777777" w:rsidR="0030236A" w:rsidRDefault="0030236A" w:rsidP="00BE27B5">
      <w:pPr>
        <w:jc w:val="both"/>
        <w:rPr>
          <w:b/>
        </w:rPr>
      </w:pPr>
    </w:p>
    <w:p w14:paraId="533ACD6E" w14:textId="77777777" w:rsidR="0030236A" w:rsidRDefault="0030236A" w:rsidP="00BE27B5">
      <w:pPr>
        <w:jc w:val="both"/>
        <w:rPr>
          <w:b/>
        </w:rPr>
      </w:pPr>
    </w:p>
    <w:p w14:paraId="072E868B" w14:textId="77777777" w:rsidR="0030236A" w:rsidRDefault="0030236A" w:rsidP="00BE27B5">
      <w:pPr>
        <w:jc w:val="both"/>
        <w:rPr>
          <w:b/>
        </w:rPr>
      </w:pPr>
    </w:p>
    <w:tbl>
      <w:tblPr>
        <w:tblW w:w="137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9"/>
        <w:gridCol w:w="33"/>
        <w:gridCol w:w="1242"/>
        <w:gridCol w:w="1310"/>
        <w:gridCol w:w="992"/>
        <w:gridCol w:w="1134"/>
        <w:gridCol w:w="1418"/>
        <w:gridCol w:w="958"/>
        <w:gridCol w:w="1451"/>
        <w:gridCol w:w="2694"/>
      </w:tblGrid>
      <w:tr w:rsidR="0030236A" w:rsidRPr="003E3BE9" w14:paraId="7BD5E6AF" w14:textId="77777777" w:rsidTr="0030236A">
        <w:trPr>
          <w:trHeight w:val="766"/>
        </w:trPr>
        <w:tc>
          <w:tcPr>
            <w:tcW w:w="710" w:type="dxa"/>
            <w:shd w:val="clear" w:color="000000" w:fill="DBE5F1"/>
          </w:tcPr>
          <w:p w14:paraId="68D06894" w14:textId="77777777" w:rsidR="0030236A" w:rsidRPr="00CA1999" w:rsidRDefault="0030236A" w:rsidP="002A517F">
            <w:pPr>
              <w:spacing w:after="200"/>
              <w:ind w:left="-108" w:firstLine="93"/>
              <w:jc w:val="center"/>
              <w:rPr>
                <w:color w:val="000000"/>
                <w:sz w:val="20"/>
                <w:szCs w:val="20"/>
              </w:rPr>
            </w:pPr>
          </w:p>
          <w:p w14:paraId="1E48D407" w14:textId="77777777" w:rsidR="0030236A" w:rsidRPr="00CA1999" w:rsidRDefault="0030236A" w:rsidP="002A517F">
            <w:pPr>
              <w:spacing w:after="200"/>
              <w:ind w:left="-108" w:firstLine="93"/>
              <w:jc w:val="center"/>
              <w:rPr>
                <w:color w:val="000000"/>
                <w:sz w:val="20"/>
                <w:szCs w:val="20"/>
              </w:rPr>
            </w:pPr>
            <w:r w:rsidRPr="00CA1999">
              <w:rPr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1809" w:type="dxa"/>
            <w:shd w:val="clear" w:color="000000" w:fill="DBE5F1"/>
            <w:vAlign w:val="center"/>
            <w:hideMark/>
          </w:tcPr>
          <w:p w14:paraId="6AFAD759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CA1999">
              <w:rPr>
                <w:color w:val="000000"/>
                <w:sz w:val="20"/>
                <w:szCs w:val="20"/>
              </w:rPr>
              <w:t xml:space="preserve">Naziv </w:t>
            </w:r>
          </w:p>
          <w:p w14:paraId="34246420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CA1999">
              <w:rPr>
                <w:color w:val="000000"/>
                <w:sz w:val="20"/>
                <w:szCs w:val="20"/>
              </w:rPr>
              <w:t>katastarske općine</w:t>
            </w:r>
          </w:p>
        </w:tc>
        <w:tc>
          <w:tcPr>
            <w:tcW w:w="1275" w:type="dxa"/>
            <w:gridSpan w:val="2"/>
            <w:shd w:val="clear" w:color="000000" w:fill="DBE5F1"/>
            <w:vAlign w:val="center"/>
            <w:hideMark/>
          </w:tcPr>
          <w:p w14:paraId="7321DD97" w14:textId="77777777" w:rsidR="0030236A" w:rsidRPr="00CA1999" w:rsidRDefault="0030236A" w:rsidP="002A517F">
            <w:pPr>
              <w:spacing w:after="200"/>
              <w:ind w:left="167" w:hanging="167"/>
              <w:jc w:val="center"/>
              <w:rPr>
                <w:color w:val="000000"/>
                <w:sz w:val="20"/>
                <w:szCs w:val="20"/>
              </w:rPr>
            </w:pPr>
            <w:r w:rsidRPr="00CA1999">
              <w:rPr>
                <w:sz w:val="20"/>
                <w:szCs w:val="20"/>
              </w:rPr>
              <w:t>Broj katastarske čestice</w:t>
            </w:r>
          </w:p>
        </w:tc>
        <w:tc>
          <w:tcPr>
            <w:tcW w:w="1310" w:type="dxa"/>
            <w:shd w:val="clear" w:color="000000" w:fill="DBE5F1"/>
          </w:tcPr>
          <w:p w14:paraId="753ECC02" w14:textId="77777777" w:rsidR="0030236A" w:rsidRPr="00CA1999" w:rsidRDefault="0030236A" w:rsidP="002A517F">
            <w:pPr>
              <w:spacing w:after="200"/>
              <w:jc w:val="center"/>
              <w:rPr>
                <w:sz w:val="20"/>
                <w:szCs w:val="20"/>
              </w:rPr>
            </w:pPr>
            <w:r w:rsidRPr="003E3BE9">
              <w:rPr>
                <w:sz w:val="20"/>
                <w:szCs w:val="20"/>
              </w:rPr>
              <w:t>Način uporabe katastarske čestice (katastarska kultura)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14:paraId="05256722" w14:textId="77777777" w:rsidR="0030236A" w:rsidRPr="00CA1999" w:rsidRDefault="0030236A" w:rsidP="002A517F">
            <w:pPr>
              <w:spacing w:after="200"/>
              <w:jc w:val="center"/>
              <w:rPr>
                <w:sz w:val="20"/>
                <w:szCs w:val="20"/>
              </w:rPr>
            </w:pPr>
            <w:r w:rsidRPr="00CA1999">
              <w:rPr>
                <w:sz w:val="20"/>
                <w:szCs w:val="20"/>
              </w:rPr>
              <w:t xml:space="preserve"> </w:t>
            </w:r>
            <w:r w:rsidRPr="003E3BE9">
              <w:rPr>
                <w:sz w:val="20"/>
                <w:szCs w:val="20"/>
              </w:rPr>
              <w:t>Površina  (ha)</w:t>
            </w:r>
          </w:p>
        </w:tc>
        <w:tc>
          <w:tcPr>
            <w:tcW w:w="1134" w:type="dxa"/>
            <w:shd w:val="clear" w:color="000000" w:fill="DBE5F1"/>
            <w:vAlign w:val="center"/>
            <w:hideMark/>
          </w:tcPr>
          <w:p w14:paraId="06F24751" w14:textId="77777777" w:rsidR="0030236A" w:rsidRPr="00CA1999" w:rsidRDefault="0030236A" w:rsidP="002A517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C71B92">
              <w:rPr>
                <w:sz w:val="20"/>
                <w:szCs w:val="20"/>
              </w:rPr>
              <w:t>jedinična zakupnina (kn/ha</w:t>
            </w:r>
          </w:p>
        </w:tc>
        <w:tc>
          <w:tcPr>
            <w:tcW w:w="1418" w:type="dxa"/>
            <w:shd w:val="clear" w:color="000000" w:fill="DBE5F1"/>
          </w:tcPr>
          <w:p w14:paraId="17A6983D" w14:textId="77777777" w:rsidR="0030236A" w:rsidRPr="00CA1999" w:rsidRDefault="0030236A" w:rsidP="002A517F">
            <w:pPr>
              <w:spacing w:after="200"/>
              <w:jc w:val="center"/>
              <w:rPr>
                <w:sz w:val="20"/>
                <w:szCs w:val="20"/>
              </w:rPr>
            </w:pPr>
            <w:r w:rsidRPr="00C71B92">
              <w:rPr>
                <w:sz w:val="20"/>
                <w:szCs w:val="20"/>
              </w:rPr>
              <w:t>Početna zakupnina      (kn)</w:t>
            </w:r>
          </w:p>
        </w:tc>
        <w:tc>
          <w:tcPr>
            <w:tcW w:w="958" w:type="dxa"/>
            <w:shd w:val="clear" w:color="000000" w:fill="DBE5F1"/>
          </w:tcPr>
          <w:p w14:paraId="6D2B1D45" w14:textId="77777777" w:rsidR="0030236A" w:rsidRPr="00CA1999" w:rsidRDefault="0030236A" w:rsidP="002A517F">
            <w:pPr>
              <w:spacing w:after="200"/>
              <w:jc w:val="center"/>
              <w:rPr>
                <w:sz w:val="20"/>
                <w:szCs w:val="20"/>
              </w:rPr>
            </w:pPr>
            <w:r w:rsidRPr="003E3BE9">
              <w:rPr>
                <w:sz w:val="20"/>
                <w:szCs w:val="20"/>
              </w:rPr>
              <w:t>Postotak uveć./umanj.</w:t>
            </w:r>
          </w:p>
        </w:tc>
        <w:tc>
          <w:tcPr>
            <w:tcW w:w="1451" w:type="dxa"/>
            <w:shd w:val="clear" w:color="000000" w:fill="DBE5F1"/>
          </w:tcPr>
          <w:p w14:paraId="2A0EDA5A" w14:textId="77777777" w:rsidR="0030236A" w:rsidRPr="003E3BE9" w:rsidRDefault="0030236A" w:rsidP="002A517F">
            <w:pPr>
              <w:spacing w:after="200"/>
              <w:jc w:val="center"/>
              <w:rPr>
                <w:sz w:val="20"/>
                <w:szCs w:val="20"/>
              </w:rPr>
            </w:pPr>
            <w:r w:rsidRPr="003E3BE9">
              <w:rPr>
                <w:sz w:val="20"/>
                <w:szCs w:val="20"/>
              </w:rPr>
              <w:t>Ukupna visina početne zakupnine      (kn)</w:t>
            </w:r>
          </w:p>
        </w:tc>
        <w:tc>
          <w:tcPr>
            <w:tcW w:w="2694" w:type="dxa"/>
            <w:shd w:val="clear" w:color="000000" w:fill="DBE5F1"/>
          </w:tcPr>
          <w:p w14:paraId="16DB72F5" w14:textId="77777777" w:rsidR="0030236A" w:rsidRPr="003E3BE9" w:rsidRDefault="0030236A" w:rsidP="002A517F">
            <w:pPr>
              <w:spacing w:after="200"/>
              <w:jc w:val="center"/>
              <w:rPr>
                <w:sz w:val="20"/>
                <w:szCs w:val="20"/>
              </w:rPr>
            </w:pPr>
            <w:r w:rsidRPr="003E3BE9">
              <w:rPr>
                <w:sz w:val="20"/>
                <w:szCs w:val="20"/>
              </w:rPr>
              <w:t>Napomena</w:t>
            </w:r>
          </w:p>
        </w:tc>
      </w:tr>
      <w:tr w:rsidR="0030236A" w:rsidRPr="003E3BE9" w14:paraId="77338E11" w14:textId="77777777" w:rsidTr="0030236A">
        <w:trPr>
          <w:trHeight w:val="315"/>
        </w:trPr>
        <w:tc>
          <w:tcPr>
            <w:tcW w:w="710" w:type="dxa"/>
            <w:shd w:val="clear" w:color="auto" w:fill="auto"/>
          </w:tcPr>
          <w:p w14:paraId="57FFC4EE" w14:textId="77777777" w:rsidR="0030236A" w:rsidRPr="00CA1999" w:rsidRDefault="0030236A" w:rsidP="0030236A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0A32B3F5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CA1999">
              <w:rPr>
                <w:color w:val="000000"/>
                <w:sz w:val="22"/>
                <w:szCs w:val="22"/>
              </w:rPr>
              <w:t>VLADISLAVCI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62E7B25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CA1999">
              <w:rPr>
                <w:rFonts w:eastAsia="Calibri"/>
                <w:color w:val="000000"/>
                <w:sz w:val="22"/>
                <w:szCs w:val="22"/>
                <w:lang w:eastAsia="en-US"/>
              </w:rPr>
              <w:t>552/1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dio</w:t>
            </w:r>
          </w:p>
        </w:tc>
        <w:tc>
          <w:tcPr>
            <w:tcW w:w="1310" w:type="dxa"/>
            <w:shd w:val="clear" w:color="auto" w:fill="auto"/>
          </w:tcPr>
          <w:p w14:paraId="50371CAC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53D157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4,3537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92F529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467,00 kn</w:t>
            </w:r>
          </w:p>
        </w:tc>
        <w:tc>
          <w:tcPr>
            <w:tcW w:w="1418" w:type="dxa"/>
          </w:tcPr>
          <w:p w14:paraId="77D3F7CA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2.033,18 kn</w:t>
            </w:r>
          </w:p>
        </w:tc>
        <w:tc>
          <w:tcPr>
            <w:tcW w:w="958" w:type="dxa"/>
          </w:tcPr>
          <w:p w14:paraId="19D5EEAE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E3BE9">
              <w:rPr>
                <w:color w:val="000000"/>
                <w:sz w:val="22"/>
                <w:szCs w:val="22"/>
              </w:rPr>
              <w:t>0,00 %</w:t>
            </w:r>
          </w:p>
        </w:tc>
        <w:tc>
          <w:tcPr>
            <w:tcW w:w="1451" w:type="dxa"/>
          </w:tcPr>
          <w:p w14:paraId="3F324B13" w14:textId="77777777" w:rsidR="0030236A" w:rsidRPr="003E3BE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2.033,18 kn</w:t>
            </w:r>
          </w:p>
        </w:tc>
        <w:tc>
          <w:tcPr>
            <w:tcW w:w="2694" w:type="dxa"/>
          </w:tcPr>
          <w:p w14:paraId="0776E4C8" w14:textId="77777777" w:rsidR="0030236A" w:rsidRPr="003E3BE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36A" w:rsidRPr="003E3BE9" w14:paraId="1D1208CD" w14:textId="77777777" w:rsidTr="002A517F">
        <w:trPr>
          <w:trHeight w:val="315"/>
        </w:trPr>
        <w:tc>
          <w:tcPr>
            <w:tcW w:w="710" w:type="dxa"/>
            <w:shd w:val="clear" w:color="auto" w:fill="auto"/>
          </w:tcPr>
          <w:p w14:paraId="4618C281" w14:textId="77777777" w:rsidR="0030236A" w:rsidRPr="00CA1999" w:rsidRDefault="0030236A" w:rsidP="0030236A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14:paraId="3EEABA9C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CA1999">
              <w:rPr>
                <w:color w:val="000000"/>
                <w:sz w:val="22"/>
                <w:szCs w:val="22"/>
              </w:rPr>
              <w:t>VLADISLAVCI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05D427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CA1999">
              <w:rPr>
                <w:rFonts w:eastAsia="Calibri"/>
                <w:color w:val="000000"/>
                <w:sz w:val="22"/>
                <w:szCs w:val="22"/>
                <w:lang w:eastAsia="en-US"/>
              </w:rPr>
              <w:t>55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Pr="00CA1999">
              <w:rPr>
                <w:rFonts w:eastAsia="Calibri"/>
                <w:color w:val="000000"/>
                <w:sz w:val="22"/>
                <w:szCs w:val="22"/>
                <w:lang w:eastAsia="en-US"/>
              </w:rPr>
              <w:t>/1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- dio</w:t>
            </w:r>
          </w:p>
        </w:tc>
        <w:tc>
          <w:tcPr>
            <w:tcW w:w="1310" w:type="dxa"/>
            <w:shd w:val="clear" w:color="auto" w:fill="auto"/>
          </w:tcPr>
          <w:p w14:paraId="50A8C212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A0793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C3B1B">
              <w:rPr>
                <w:rFonts w:eastAsia="Calibri"/>
                <w:color w:val="000000"/>
                <w:sz w:val="22"/>
                <w:szCs w:val="22"/>
                <w:lang w:eastAsia="en-US"/>
              </w:rPr>
              <w:t>25,3640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186D7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467,00 kn</w:t>
            </w:r>
          </w:p>
        </w:tc>
        <w:tc>
          <w:tcPr>
            <w:tcW w:w="1418" w:type="dxa"/>
          </w:tcPr>
          <w:p w14:paraId="664ECA6F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3B1B">
              <w:rPr>
                <w:rFonts w:eastAsia="Calibri"/>
                <w:color w:val="000000"/>
                <w:sz w:val="22"/>
                <w:szCs w:val="22"/>
                <w:lang w:eastAsia="en-US"/>
              </w:rPr>
              <w:t>11.844,99 kn</w:t>
            </w:r>
          </w:p>
        </w:tc>
        <w:tc>
          <w:tcPr>
            <w:tcW w:w="958" w:type="dxa"/>
          </w:tcPr>
          <w:p w14:paraId="77B8E67A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E3BE9">
              <w:rPr>
                <w:color w:val="000000"/>
                <w:sz w:val="22"/>
                <w:szCs w:val="22"/>
              </w:rPr>
              <w:t>0,00 %</w:t>
            </w:r>
          </w:p>
        </w:tc>
        <w:tc>
          <w:tcPr>
            <w:tcW w:w="1451" w:type="dxa"/>
          </w:tcPr>
          <w:p w14:paraId="0B6ED494" w14:textId="77777777" w:rsidR="0030236A" w:rsidRPr="003E3BE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C3B1B">
              <w:rPr>
                <w:rFonts w:eastAsia="Calibri"/>
                <w:color w:val="000000"/>
                <w:sz w:val="22"/>
                <w:szCs w:val="22"/>
                <w:lang w:eastAsia="en-US"/>
              </w:rPr>
              <w:t>11.844,99 kn</w:t>
            </w:r>
          </w:p>
        </w:tc>
        <w:tc>
          <w:tcPr>
            <w:tcW w:w="2694" w:type="dxa"/>
          </w:tcPr>
          <w:p w14:paraId="35DDE7CA" w14:textId="77777777" w:rsidR="0030236A" w:rsidRPr="003E3BE9" w:rsidRDefault="0030236A" w:rsidP="002A517F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3B1B">
              <w:rPr>
                <w:rFonts w:eastAsia="Calibri"/>
                <w:color w:val="000000"/>
                <w:sz w:val="22"/>
                <w:szCs w:val="22"/>
                <w:lang w:eastAsia="en-US"/>
              </w:rPr>
              <w:t>dijelom JVD, zaštitni pojas</w:t>
            </w:r>
          </w:p>
        </w:tc>
      </w:tr>
      <w:tr w:rsidR="0030236A" w:rsidRPr="003E3BE9" w14:paraId="759B2604" w14:textId="77777777" w:rsidTr="0030236A">
        <w:trPr>
          <w:trHeight w:val="315"/>
        </w:trPr>
        <w:tc>
          <w:tcPr>
            <w:tcW w:w="710" w:type="dxa"/>
            <w:shd w:val="clear" w:color="auto" w:fill="auto"/>
          </w:tcPr>
          <w:p w14:paraId="0C42F5AA" w14:textId="77777777" w:rsidR="0030236A" w:rsidRPr="00CA1999" w:rsidRDefault="0030236A" w:rsidP="0030236A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FD72217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DOPSIN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B43DA6B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954E66">
              <w:rPr>
                <w:rFonts w:eastAsia="Calibri"/>
                <w:color w:val="000000"/>
                <w:sz w:val="22"/>
                <w:szCs w:val="22"/>
                <w:lang w:eastAsia="en-US"/>
              </w:rPr>
              <w:t>334/1- dio</w:t>
            </w:r>
          </w:p>
        </w:tc>
        <w:tc>
          <w:tcPr>
            <w:tcW w:w="1310" w:type="dxa"/>
            <w:shd w:val="clear" w:color="auto" w:fill="auto"/>
          </w:tcPr>
          <w:p w14:paraId="751F23B1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94200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954E66">
              <w:rPr>
                <w:rFonts w:eastAsia="Calibri"/>
                <w:color w:val="000000"/>
                <w:sz w:val="22"/>
                <w:szCs w:val="22"/>
                <w:lang w:eastAsia="en-US"/>
              </w:rPr>
              <w:t>1,1362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5C7D9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467,00 kn</w:t>
            </w:r>
          </w:p>
        </w:tc>
        <w:tc>
          <w:tcPr>
            <w:tcW w:w="1418" w:type="dxa"/>
          </w:tcPr>
          <w:p w14:paraId="03E0C579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4E66">
              <w:rPr>
                <w:rFonts w:eastAsia="Calibri"/>
                <w:color w:val="000000"/>
                <w:sz w:val="22"/>
                <w:szCs w:val="22"/>
                <w:lang w:eastAsia="en-US"/>
              </w:rPr>
              <w:t>530,61 kn</w:t>
            </w:r>
          </w:p>
        </w:tc>
        <w:tc>
          <w:tcPr>
            <w:tcW w:w="958" w:type="dxa"/>
          </w:tcPr>
          <w:p w14:paraId="61046D2D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E3BE9">
              <w:rPr>
                <w:color w:val="000000"/>
                <w:sz w:val="22"/>
                <w:szCs w:val="22"/>
              </w:rPr>
              <w:t>0,00 %</w:t>
            </w:r>
          </w:p>
        </w:tc>
        <w:tc>
          <w:tcPr>
            <w:tcW w:w="1451" w:type="dxa"/>
          </w:tcPr>
          <w:p w14:paraId="01DD365C" w14:textId="77777777" w:rsidR="0030236A" w:rsidRPr="003E3BE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954E66">
              <w:rPr>
                <w:rFonts w:eastAsia="Calibri"/>
                <w:color w:val="000000"/>
                <w:sz w:val="22"/>
                <w:szCs w:val="22"/>
                <w:lang w:eastAsia="en-US"/>
              </w:rPr>
              <w:t>530,61 kn</w:t>
            </w:r>
          </w:p>
        </w:tc>
        <w:tc>
          <w:tcPr>
            <w:tcW w:w="2694" w:type="dxa"/>
          </w:tcPr>
          <w:p w14:paraId="1E7B2730" w14:textId="77777777" w:rsidR="0030236A" w:rsidRPr="003E3BE9" w:rsidRDefault="0030236A" w:rsidP="002A517F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54E66">
              <w:rPr>
                <w:rFonts w:eastAsia="Calibri"/>
                <w:color w:val="000000"/>
                <w:sz w:val="22"/>
                <w:szCs w:val="22"/>
                <w:lang w:eastAsia="en-US"/>
              </w:rPr>
              <w:t>dijelom DMO</w:t>
            </w:r>
          </w:p>
        </w:tc>
      </w:tr>
      <w:tr w:rsidR="0030236A" w:rsidRPr="003E3BE9" w14:paraId="79B2D4A9" w14:textId="77777777" w:rsidTr="0030236A">
        <w:trPr>
          <w:trHeight w:val="315"/>
        </w:trPr>
        <w:tc>
          <w:tcPr>
            <w:tcW w:w="710" w:type="dxa"/>
            <w:shd w:val="clear" w:color="auto" w:fill="auto"/>
          </w:tcPr>
          <w:p w14:paraId="232326C2" w14:textId="77777777" w:rsidR="0030236A" w:rsidRPr="00CA1999" w:rsidRDefault="0030236A" w:rsidP="0030236A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692A0D8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DOPSIN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313312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380</w:t>
            </w:r>
            <w:r w:rsidRPr="00954E66">
              <w:rPr>
                <w:rFonts w:eastAsia="Calibri"/>
                <w:color w:val="000000"/>
                <w:sz w:val="22"/>
                <w:szCs w:val="22"/>
                <w:lang w:eastAsia="en-US"/>
              </w:rPr>
              <w:t>- dio</w:t>
            </w:r>
          </w:p>
        </w:tc>
        <w:tc>
          <w:tcPr>
            <w:tcW w:w="1310" w:type="dxa"/>
            <w:shd w:val="clear" w:color="auto" w:fill="auto"/>
          </w:tcPr>
          <w:p w14:paraId="048100A6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A23D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897AD6">
              <w:rPr>
                <w:rFonts w:eastAsia="Calibri"/>
                <w:color w:val="000000"/>
                <w:sz w:val="22"/>
                <w:szCs w:val="22"/>
                <w:lang w:eastAsia="en-US"/>
              </w:rPr>
              <w:t>2,7647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6F85E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467,00 kn</w:t>
            </w:r>
          </w:p>
        </w:tc>
        <w:tc>
          <w:tcPr>
            <w:tcW w:w="1418" w:type="dxa"/>
          </w:tcPr>
          <w:p w14:paraId="104311CE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97AD6">
              <w:rPr>
                <w:rFonts w:eastAsia="Calibri"/>
                <w:color w:val="000000"/>
                <w:sz w:val="22"/>
                <w:szCs w:val="22"/>
                <w:lang w:eastAsia="en-US"/>
              </w:rPr>
              <w:t>1.291,11 kn</w:t>
            </w:r>
          </w:p>
        </w:tc>
        <w:tc>
          <w:tcPr>
            <w:tcW w:w="958" w:type="dxa"/>
          </w:tcPr>
          <w:p w14:paraId="780ED5A3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E3BE9">
              <w:rPr>
                <w:color w:val="000000"/>
                <w:sz w:val="22"/>
                <w:szCs w:val="22"/>
              </w:rPr>
              <w:t>0,00 %</w:t>
            </w:r>
          </w:p>
        </w:tc>
        <w:tc>
          <w:tcPr>
            <w:tcW w:w="1451" w:type="dxa"/>
          </w:tcPr>
          <w:p w14:paraId="6C26CB31" w14:textId="77777777" w:rsidR="0030236A" w:rsidRPr="003E3BE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897AD6">
              <w:rPr>
                <w:rFonts w:eastAsia="Calibri"/>
                <w:color w:val="000000"/>
                <w:sz w:val="22"/>
                <w:szCs w:val="22"/>
                <w:lang w:eastAsia="en-US"/>
              </w:rPr>
              <w:t>1.291,11 kn</w:t>
            </w:r>
          </w:p>
        </w:tc>
        <w:tc>
          <w:tcPr>
            <w:tcW w:w="2694" w:type="dxa"/>
          </w:tcPr>
          <w:p w14:paraId="274E161B" w14:textId="77777777" w:rsidR="0030236A" w:rsidRPr="003E3BE9" w:rsidRDefault="0030236A" w:rsidP="002A517F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236A" w:rsidRPr="003E3BE9" w14:paraId="28FBEAB7" w14:textId="77777777" w:rsidTr="0030236A">
        <w:trPr>
          <w:trHeight w:val="315"/>
        </w:trPr>
        <w:tc>
          <w:tcPr>
            <w:tcW w:w="710" w:type="dxa"/>
            <w:shd w:val="clear" w:color="auto" w:fill="auto"/>
          </w:tcPr>
          <w:p w14:paraId="5407EDAE" w14:textId="77777777" w:rsidR="0030236A" w:rsidRPr="00CA1999" w:rsidRDefault="0030236A" w:rsidP="0030236A">
            <w:pPr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F35FF61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DOPSIN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931DE7" w14:textId="77777777" w:rsidR="0030236A" w:rsidRPr="00CA1999" w:rsidRDefault="0030236A" w:rsidP="002A517F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381</w:t>
            </w:r>
            <w:r w:rsidRPr="00954E66">
              <w:rPr>
                <w:rFonts w:eastAsia="Calibri"/>
                <w:color w:val="000000"/>
                <w:sz w:val="22"/>
                <w:szCs w:val="22"/>
                <w:lang w:eastAsia="en-US"/>
              </w:rPr>
              <w:t>- dio</w:t>
            </w:r>
          </w:p>
        </w:tc>
        <w:tc>
          <w:tcPr>
            <w:tcW w:w="1310" w:type="dxa"/>
            <w:shd w:val="clear" w:color="auto" w:fill="auto"/>
          </w:tcPr>
          <w:p w14:paraId="57EF15D0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49FD0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4B5D51">
              <w:rPr>
                <w:rFonts w:eastAsia="Calibri"/>
                <w:color w:val="000000"/>
                <w:sz w:val="22"/>
                <w:szCs w:val="22"/>
                <w:lang w:eastAsia="en-US"/>
              </w:rPr>
              <w:t>1,2535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39A79" w14:textId="77777777" w:rsidR="0030236A" w:rsidRPr="00CA199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3E3BE9">
              <w:rPr>
                <w:rFonts w:eastAsia="Calibri"/>
                <w:color w:val="000000"/>
                <w:sz w:val="22"/>
                <w:szCs w:val="22"/>
                <w:lang w:eastAsia="en-US"/>
              </w:rPr>
              <w:t>467,00 kn</w:t>
            </w:r>
          </w:p>
        </w:tc>
        <w:tc>
          <w:tcPr>
            <w:tcW w:w="1418" w:type="dxa"/>
          </w:tcPr>
          <w:p w14:paraId="1D19D85E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5D51">
              <w:rPr>
                <w:rFonts w:eastAsia="Calibri"/>
                <w:color w:val="000000"/>
                <w:sz w:val="22"/>
                <w:szCs w:val="22"/>
                <w:lang w:eastAsia="en-US"/>
              </w:rPr>
              <w:t>585,38 kn</w:t>
            </w:r>
          </w:p>
        </w:tc>
        <w:tc>
          <w:tcPr>
            <w:tcW w:w="958" w:type="dxa"/>
          </w:tcPr>
          <w:p w14:paraId="038E61C6" w14:textId="77777777" w:rsidR="0030236A" w:rsidRPr="00CA1999" w:rsidRDefault="0030236A" w:rsidP="002A517F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E3BE9">
              <w:rPr>
                <w:color w:val="000000"/>
                <w:sz w:val="22"/>
                <w:szCs w:val="22"/>
              </w:rPr>
              <w:t>0,00 %</w:t>
            </w:r>
          </w:p>
        </w:tc>
        <w:tc>
          <w:tcPr>
            <w:tcW w:w="1451" w:type="dxa"/>
          </w:tcPr>
          <w:p w14:paraId="08499152" w14:textId="77777777" w:rsidR="0030236A" w:rsidRPr="003E3BE9" w:rsidRDefault="0030236A" w:rsidP="002A517F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4B5D51">
              <w:rPr>
                <w:rFonts w:eastAsia="Calibri"/>
                <w:color w:val="000000"/>
                <w:sz w:val="22"/>
                <w:szCs w:val="22"/>
                <w:lang w:eastAsia="en-US"/>
              </w:rPr>
              <w:t>585,38 kn</w:t>
            </w:r>
          </w:p>
        </w:tc>
        <w:tc>
          <w:tcPr>
            <w:tcW w:w="2694" w:type="dxa"/>
          </w:tcPr>
          <w:p w14:paraId="0958A699" w14:textId="77777777" w:rsidR="0030236A" w:rsidRPr="003E3BE9" w:rsidRDefault="0030236A" w:rsidP="002A517F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0FA14A3" w14:textId="11E7DDA4" w:rsidR="0030236A" w:rsidRDefault="0030236A" w:rsidP="00BE27B5">
      <w:pPr>
        <w:jc w:val="both"/>
        <w:rPr>
          <w:b/>
        </w:rPr>
        <w:sectPr w:rsidR="0030236A" w:rsidSect="0030236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20AFEBD" w14:textId="1D509500" w:rsidR="00BE27B5" w:rsidRDefault="00D976AF" w:rsidP="0030236A">
      <w:pPr>
        <w:jc w:val="center"/>
        <w:rPr>
          <w:b/>
        </w:rPr>
      </w:pPr>
      <w:r>
        <w:rPr>
          <w:b/>
        </w:rPr>
        <w:lastRenderedPageBreak/>
        <w:t>Članak 2.</w:t>
      </w:r>
    </w:p>
    <w:p w14:paraId="3770D261" w14:textId="7E43A19C" w:rsidR="00D976AF" w:rsidRDefault="00D976AF" w:rsidP="0030236A">
      <w:pPr>
        <w:jc w:val="center"/>
        <w:rPr>
          <w:b/>
        </w:rPr>
      </w:pPr>
    </w:p>
    <w:p w14:paraId="4E584A00" w14:textId="353D5155" w:rsidR="00D976AF" w:rsidRDefault="00D976AF" w:rsidP="00BE27B5">
      <w:pPr>
        <w:jc w:val="both"/>
        <w:rPr>
          <w:bCs/>
        </w:rPr>
      </w:pPr>
      <w:r>
        <w:rPr>
          <w:bCs/>
        </w:rPr>
        <w:t>Dio Javnog n</w:t>
      </w:r>
      <w:r w:rsidRPr="00D976AF">
        <w:rPr>
          <w:bCs/>
        </w:rPr>
        <w:t>atječaj</w:t>
      </w:r>
      <w:r>
        <w:rPr>
          <w:bCs/>
        </w:rPr>
        <w:t>a</w:t>
      </w:r>
      <w:r w:rsidRPr="00D976AF">
        <w:rPr>
          <w:bCs/>
        </w:rPr>
        <w:t xml:space="preserve"> za zemljište iz </w:t>
      </w:r>
      <w:r>
        <w:rPr>
          <w:bCs/>
        </w:rPr>
        <w:t>članka 1</w:t>
      </w:r>
      <w:r w:rsidRPr="00D976AF">
        <w:rPr>
          <w:bCs/>
        </w:rPr>
        <w:t>. ov</w:t>
      </w:r>
      <w:r w:rsidR="009978B0">
        <w:rPr>
          <w:bCs/>
        </w:rPr>
        <w:t>og</w:t>
      </w:r>
      <w:r w:rsidRPr="00D976AF">
        <w:rPr>
          <w:bCs/>
        </w:rPr>
        <w:t xml:space="preserve"> </w:t>
      </w:r>
      <w:r w:rsidR="009978B0">
        <w:rPr>
          <w:bCs/>
        </w:rPr>
        <w:t>Zaključka</w:t>
      </w:r>
      <w:r w:rsidRPr="00D976AF">
        <w:rPr>
          <w:bCs/>
        </w:rPr>
        <w:t xml:space="preserve"> poništava se iz razloga što je za </w:t>
      </w:r>
      <w:r>
        <w:rPr>
          <w:bCs/>
        </w:rPr>
        <w:t>navedene katastarske čestice</w:t>
      </w:r>
      <w:r w:rsidRPr="00D976AF">
        <w:rPr>
          <w:bCs/>
        </w:rPr>
        <w:t xml:space="preserve"> pokrenut postupak parcelacije zbog utvrđivanja razmjernog dijela zemljišta koje se nalazi unutar a koje izvan građevinske zone te</w:t>
      </w:r>
      <w:r>
        <w:rPr>
          <w:bCs/>
        </w:rPr>
        <w:t xml:space="preserve"> Javni natječaj za navedene čestice</w:t>
      </w:r>
      <w:r w:rsidRPr="00D976AF">
        <w:rPr>
          <w:bCs/>
        </w:rPr>
        <w:t xml:space="preserve"> </w:t>
      </w:r>
      <w:r>
        <w:rPr>
          <w:bCs/>
        </w:rPr>
        <w:t>neće proizvoditi pravne učinke.</w:t>
      </w:r>
    </w:p>
    <w:p w14:paraId="42495304" w14:textId="77777777" w:rsidR="00D976AF" w:rsidRDefault="00D976AF" w:rsidP="00BE27B5">
      <w:pPr>
        <w:jc w:val="both"/>
        <w:rPr>
          <w:bCs/>
        </w:rPr>
      </w:pPr>
    </w:p>
    <w:p w14:paraId="4C78E801" w14:textId="77777777" w:rsidR="00D976AF" w:rsidRDefault="00D976AF" w:rsidP="00D976AF">
      <w:pPr>
        <w:jc w:val="center"/>
        <w:rPr>
          <w:b/>
        </w:rPr>
      </w:pPr>
      <w:r>
        <w:rPr>
          <w:b/>
        </w:rPr>
        <w:t>Članak 3.</w:t>
      </w:r>
    </w:p>
    <w:p w14:paraId="556940A2" w14:textId="77777777" w:rsidR="00D976AF" w:rsidRDefault="00D976AF" w:rsidP="00D976AF">
      <w:pPr>
        <w:jc w:val="center"/>
        <w:rPr>
          <w:b/>
        </w:rPr>
      </w:pPr>
    </w:p>
    <w:p w14:paraId="41E171A0" w14:textId="094CC80E" w:rsidR="00D976AF" w:rsidRDefault="00D976AF" w:rsidP="00D976AF">
      <w:pPr>
        <w:jc w:val="both"/>
        <w:rPr>
          <w:bCs/>
        </w:rPr>
      </w:pPr>
      <w:r w:rsidRPr="009A6AF6">
        <w:rPr>
          <w:bCs/>
        </w:rPr>
        <w:t>Ova</w:t>
      </w:r>
      <w:r w:rsidR="009978B0">
        <w:rPr>
          <w:bCs/>
        </w:rPr>
        <w:t>j</w:t>
      </w:r>
      <w:r w:rsidRPr="009A6AF6">
        <w:rPr>
          <w:bCs/>
        </w:rPr>
        <w:t xml:space="preserve"> </w:t>
      </w:r>
      <w:r w:rsidR="009978B0">
        <w:rPr>
          <w:bCs/>
        </w:rPr>
        <w:t>Zaključak</w:t>
      </w:r>
      <w:r w:rsidRPr="009A6AF6">
        <w:rPr>
          <w:bCs/>
        </w:rPr>
        <w:t xml:space="preserve"> stupa na snagu </w:t>
      </w:r>
      <w:r w:rsidR="009978B0">
        <w:rPr>
          <w:bCs/>
        </w:rPr>
        <w:t>danom donošenja i biti će objavljen</w:t>
      </w:r>
      <w:r>
        <w:rPr>
          <w:bCs/>
        </w:rPr>
        <w:t xml:space="preserve"> </w:t>
      </w:r>
      <w:r w:rsidRPr="009A6AF6">
        <w:rPr>
          <w:bCs/>
        </w:rPr>
        <w:t>u  „Službenom glasniku“ Općine Vladislavci.</w:t>
      </w:r>
    </w:p>
    <w:p w14:paraId="00D0DAC0" w14:textId="77777777" w:rsidR="00D976AF" w:rsidRDefault="00D976AF" w:rsidP="00D976AF">
      <w:pPr>
        <w:jc w:val="both"/>
        <w:rPr>
          <w:bCs/>
        </w:rPr>
      </w:pPr>
    </w:p>
    <w:p w14:paraId="6764A022" w14:textId="77777777" w:rsidR="00D976AF" w:rsidRDefault="00D976AF" w:rsidP="00D976AF">
      <w:pPr>
        <w:jc w:val="both"/>
        <w:rPr>
          <w:bCs/>
        </w:rPr>
      </w:pPr>
    </w:p>
    <w:p w14:paraId="1A6034E3" w14:textId="77777777" w:rsidR="00D976AF" w:rsidRPr="009A6AF6" w:rsidRDefault="00D976AF" w:rsidP="00D976AF">
      <w:pPr>
        <w:jc w:val="both"/>
      </w:pPr>
      <w:r w:rsidRPr="009A6AF6">
        <w:t xml:space="preserve">KLASA: 940-04/21-02/04  </w:t>
      </w:r>
    </w:p>
    <w:p w14:paraId="77D9A30E" w14:textId="77777777" w:rsidR="00D976AF" w:rsidRPr="009A6AF6" w:rsidRDefault="00D976AF" w:rsidP="00D976AF">
      <w:pPr>
        <w:jc w:val="both"/>
      </w:pPr>
      <w:r w:rsidRPr="009A6AF6">
        <w:t>URBROJ: 2158-41-01-22-</w:t>
      </w:r>
      <w:r>
        <w:t>79</w:t>
      </w:r>
    </w:p>
    <w:p w14:paraId="735151EF" w14:textId="0FEBFC3C" w:rsidR="00D976AF" w:rsidRPr="009A6AF6" w:rsidRDefault="00D976AF" w:rsidP="00D976AF">
      <w:pPr>
        <w:jc w:val="both"/>
      </w:pPr>
      <w:r w:rsidRPr="009A6AF6">
        <w:t xml:space="preserve">Vladislavci, </w:t>
      </w:r>
      <w:r w:rsidR="00DB456C">
        <w:t>28.</w:t>
      </w:r>
      <w:r>
        <w:t>veljače</w:t>
      </w:r>
      <w:r w:rsidRPr="009A6AF6">
        <w:t xml:space="preserve">  2022.  </w:t>
      </w:r>
    </w:p>
    <w:p w14:paraId="11C135CA" w14:textId="77777777" w:rsidR="00D976AF" w:rsidRPr="009A6AF6" w:rsidRDefault="00D976AF" w:rsidP="00D976AF">
      <w:pPr>
        <w:ind w:left="3540"/>
        <w:jc w:val="center"/>
      </w:pPr>
      <w:r w:rsidRPr="009A6AF6">
        <w:t xml:space="preserve">PREDSJEDNIK </w:t>
      </w:r>
    </w:p>
    <w:p w14:paraId="3C393284" w14:textId="77777777" w:rsidR="00D976AF" w:rsidRPr="009A6AF6" w:rsidRDefault="00D976AF" w:rsidP="00D976AF">
      <w:pPr>
        <w:ind w:left="3540"/>
        <w:jc w:val="center"/>
      </w:pPr>
      <w:r w:rsidRPr="009A6AF6">
        <w:t>OPĆINSKOG VIJEĆA</w:t>
      </w:r>
    </w:p>
    <w:p w14:paraId="7953CB44" w14:textId="77777777" w:rsidR="00D976AF" w:rsidRPr="009A6AF6" w:rsidRDefault="00D976AF" w:rsidP="00D976AF">
      <w:pPr>
        <w:ind w:left="3540"/>
        <w:jc w:val="center"/>
      </w:pPr>
    </w:p>
    <w:p w14:paraId="647E0C08" w14:textId="12134222" w:rsidR="009A6AF6" w:rsidRDefault="00D976AF" w:rsidP="00DB456C">
      <w:pPr>
        <w:ind w:left="3540"/>
        <w:jc w:val="center"/>
        <w:rPr>
          <w:bCs/>
        </w:rPr>
      </w:pPr>
      <w:r w:rsidRPr="009A6AF6">
        <w:t xml:space="preserve">  Krunoslav Morović</w:t>
      </w:r>
      <w:r w:rsidR="00DB456C">
        <w:t>, v.r.</w:t>
      </w:r>
    </w:p>
    <w:sectPr w:rsidR="009A6AF6" w:rsidSect="003023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4CD"/>
    <w:multiLevelType w:val="hybridMultilevel"/>
    <w:tmpl w:val="8CDC7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5ECB"/>
    <w:multiLevelType w:val="hybridMultilevel"/>
    <w:tmpl w:val="5CD84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E88"/>
    <w:multiLevelType w:val="hybridMultilevel"/>
    <w:tmpl w:val="044424E2"/>
    <w:lvl w:ilvl="0" w:tplc="78802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23B3"/>
    <w:multiLevelType w:val="hybridMultilevel"/>
    <w:tmpl w:val="8CDC7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1272"/>
    <w:multiLevelType w:val="hybridMultilevel"/>
    <w:tmpl w:val="EC88C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72759"/>
    <w:multiLevelType w:val="hybridMultilevel"/>
    <w:tmpl w:val="64185048"/>
    <w:lvl w:ilvl="0" w:tplc="02BE9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795FD8"/>
    <w:multiLevelType w:val="hybridMultilevel"/>
    <w:tmpl w:val="8CDC7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71074"/>
    <w:multiLevelType w:val="hybridMultilevel"/>
    <w:tmpl w:val="9B989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E1"/>
    <w:rsid w:val="00020CEE"/>
    <w:rsid w:val="00054DE2"/>
    <w:rsid w:val="001C3F74"/>
    <w:rsid w:val="00205201"/>
    <w:rsid w:val="002A79E1"/>
    <w:rsid w:val="002F3A20"/>
    <w:rsid w:val="0030236A"/>
    <w:rsid w:val="003965C6"/>
    <w:rsid w:val="003C3B1B"/>
    <w:rsid w:val="00473BD2"/>
    <w:rsid w:val="004B5D51"/>
    <w:rsid w:val="004E4863"/>
    <w:rsid w:val="004F7D16"/>
    <w:rsid w:val="00663F4B"/>
    <w:rsid w:val="006C15E1"/>
    <w:rsid w:val="007D5AA6"/>
    <w:rsid w:val="00897AD6"/>
    <w:rsid w:val="008A034D"/>
    <w:rsid w:val="00921D90"/>
    <w:rsid w:val="00954E66"/>
    <w:rsid w:val="009978B0"/>
    <w:rsid w:val="009A3769"/>
    <w:rsid w:val="009A6AF6"/>
    <w:rsid w:val="009C37F6"/>
    <w:rsid w:val="00A31CDF"/>
    <w:rsid w:val="00BE27B5"/>
    <w:rsid w:val="00BF5CC8"/>
    <w:rsid w:val="00C71B92"/>
    <w:rsid w:val="00C903AB"/>
    <w:rsid w:val="00CA1999"/>
    <w:rsid w:val="00D2159A"/>
    <w:rsid w:val="00D976AF"/>
    <w:rsid w:val="00DA17C4"/>
    <w:rsid w:val="00DB456C"/>
    <w:rsid w:val="00E83792"/>
    <w:rsid w:val="00EF6015"/>
    <w:rsid w:val="00F15083"/>
    <w:rsid w:val="00F31680"/>
    <w:rsid w:val="00F43AE6"/>
    <w:rsid w:val="00F540F6"/>
    <w:rsid w:val="00F90B6E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6E14"/>
  <w15:chartTrackingRefBased/>
  <w15:docId w15:val="{1807E795-E48C-44D9-A537-FAE6E7F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2F3A20"/>
    <w:pPr>
      <w:jc w:val="both"/>
    </w:pPr>
    <w:rPr>
      <w:rFonts w:ascii="HRTimes" w:hAnsi="HRTimes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F3A20"/>
    <w:rPr>
      <w:rFonts w:ascii="HRTimes" w:eastAsia="Times New Roman" w:hAnsi="HRTimes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2F3A2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2F3A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F3A2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F3A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A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OpcinaPCY</cp:lastModifiedBy>
  <cp:revision>5</cp:revision>
  <dcterms:created xsi:type="dcterms:W3CDTF">2022-01-31T08:12:00Z</dcterms:created>
  <dcterms:modified xsi:type="dcterms:W3CDTF">2022-03-07T07:41:00Z</dcterms:modified>
</cp:coreProperties>
</file>