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firstLine="540"/>
        <w:jc w:val="both"/>
      </w:pPr>
      <w:r>
        <w:rPr>
          <w:rFonts w:ascii="Arial" w:hAnsi="Arial" w:cs="Arial"/>
        </w:rPr>
        <w:tab/>
      </w:r>
      <w:r>
        <w:t xml:space="preserve">Na temelju članka 30. Statuta Općine Vladislavci („Službeni glasnik“ Općine Vladislavci broj 3/13, 3/17, 2/18, 4/20, 8/20 i 2/21), Općinsko vijeće Općine Vladislavci na svojoj 18. sjednici održanoj dana 21. rujna  2022. donijelo </w:t>
      </w:r>
    </w:p>
    <w:p>
      <w:pPr>
        <w:ind w:firstLine="540"/>
        <w:jc w:val="both"/>
      </w:pPr>
    </w:p>
    <w:p>
      <w:pPr>
        <w:jc w:val="both"/>
      </w:pPr>
    </w:p>
    <w:p>
      <w:pPr>
        <w:jc w:val="both"/>
      </w:pPr>
    </w:p>
    <w:p>
      <w:pPr>
        <w:jc w:val="center"/>
        <w:rPr>
          <w:b/>
        </w:rPr>
      </w:pPr>
      <w:r>
        <w:rPr>
          <w:b/>
        </w:rPr>
        <w:t>ZAKLJUČAK</w:t>
      </w:r>
    </w:p>
    <w:p>
      <w:pPr>
        <w:jc w:val="center"/>
        <w:rPr>
          <w:b/>
        </w:rPr>
      </w:pPr>
      <w:r>
        <w:rPr>
          <w:b/>
        </w:rPr>
        <w:t>O PRIHVAĆANJU POLUGODIŠNJEG IZVJEŠĆA O RADU OPĆINSKOG NAČELNIKA ZA RAZDOBLJE SIJEČANJ – LIPANJ 2022.</w:t>
      </w:r>
    </w:p>
    <w:p>
      <w:pPr>
        <w:jc w:val="center"/>
        <w:rPr>
          <w:b/>
        </w:rPr>
      </w:pPr>
    </w:p>
    <w:p>
      <w:pPr>
        <w:jc w:val="center"/>
      </w:pPr>
    </w:p>
    <w:p>
      <w:pPr>
        <w:jc w:val="center"/>
      </w:pPr>
    </w:p>
    <w:p>
      <w:pPr>
        <w:jc w:val="center"/>
      </w:pPr>
    </w:p>
    <w:p>
      <w:pPr>
        <w:jc w:val="center"/>
      </w:pPr>
    </w:p>
    <w:p>
      <w:pPr>
        <w:jc w:val="center"/>
        <w:rPr>
          <w:b/>
        </w:rPr>
      </w:pPr>
      <w:r>
        <w:rPr>
          <w:b/>
        </w:rPr>
        <w:t>I.</w:t>
      </w:r>
    </w:p>
    <w:p>
      <w:pPr>
        <w:jc w:val="center"/>
      </w:pPr>
    </w:p>
    <w:p>
      <w:pPr>
        <w:ind w:firstLine="708"/>
        <w:jc w:val="both"/>
      </w:pPr>
      <w:r>
        <w:t>Prihvaća se polugodišnje Izvješće o radu Općinskog načelnika za razdoblje siječanj – lipanj 2022.</w:t>
      </w:r>
    </w:p>
    <w:p>
      <w:pPr>
        <w:ind w:firstLine="708"/>
        <w:jc w:val="both"/>
      </w:pPr>
    </w:p>
    <w:p>
      <w:pPr>
        <w:ind w:firstLine="708"/>
        <w:jc w:val="both"/>
      </w:pPr>
      <w:r>
        <w:t>Izvješće iz stavka 1. ove točke prilog je ovom Zaključku.</w:t>
      </w:r>
    </w:p>
    <w:p>
      <w:pPr>
        <w:ind w:left="-1417"/>
        <w:jc w:val="both"/>
      </w:pPr>
    </w:p>
    <w:p>
      <w:pPr>
        <w:jc w:val="both"/>
      </w:pPr>
    </w:p>
    <w:p/>
    <w:p>
      <w:pPr>
        <w:jc w:val="center"/>
        <w:rPr>
          <w:b/>
        </w:rPr>
      </w:pPr>
      <w:r>
        <w:rPr>
          <w:b/>
        </w:rPr>
        <w:t>II.</w:t>
      </w:r>
    </w:p>
    <w:p>
      <w:pPr>
        <w:jc w:val="center"/>
      </w:pPr>
    </w:p>
    <w:p>
      <w:pPr>
        <w:jc w:val="both"/>
      </w:pPr>
      <w:r>
        <w:tab/>
        <w:t>Ovaj Zaključak stupa na snagu danom donošenja i bit će objavljen u „Službenom glasniku“ Općine Vladislavci</w:t>
      </w:r>
    </w:p>
    <w:p/>
    <w:p/>
    <w:p>
      <w:pPr>
        <w:ind w:firstLine="708"/>
        <w:jc w:val="both"/>
      </w:pPr>
    </w:p>
    <w:p>
      <w:pPr>
        <w:ind w:firstLine="708"/>
        <w:jc w:val="both"/>
      </w:pPr>
    </w:p>
    <w:p>
      <w:pPr>
        <w:jc w:val="both"/>
      </w:pPr>
    </w:p>
    <w:p>
      <w:pPr>
        <w:jc w:val="both"/>
      </w:pPr>
      <w:r>
        <w:t xml:space="preserve">KLASA: 024-04/22-01/05          </w:t>
      </w:r>
    </w:p>
    <w:p>
      <w:pPr>
        <w:jc w:val="both"/>
      </w:pPr>
      <w:r>
        <w:t>URBROJ: 2158-41-01-22-02</w:t>
      </w:r>
    </w:p>
    <w:p>
      <w:pPr>
        <w:jc w:val="both"/>
      </w:pPr>
      <w:r>
        <w:t xml:space="preserve">Vladislavci, 21. lipnja 2022 </w:t>
      </w:r>
    </w:p>
    <w:p>
      <w:pPr>
        <w:jc w:val="both"/>
      </w:pPr>
    </w:p>
    <w:p>
      <w:pPr>
        <w:jc w:val="both"/>
      </w:pPr>
      <w:r>
        <w:tab/>
      </w:r>
    </w:p>
    <w:p>
      <w:pPr>
        <w:jc w:val="both"/>
      </w:pPr>
      <w:r>
        <w:tab/>
      </w:r>
      <w:r>
        <w:tab/>
      </w:r>
    </w:p>
    <w:p>
      <w:pPr>
        <w:ind w:left="4956" w:firstLine="708"/>
        <w:jc w:val="center"/>
        <w:rPr>
          <w:b/>
        </w:rPr>
      </w:pPr>
      <w:r>
        <w:rPr>
          <w:b/>
        </w:rPr>
        <w:t xml:space="preserve">Predsjednik </w:t>
      </w:r>
    </w:p>
    <w:p>
      <w:pPr>
        <w:ind w:left="4956" w:firstLine="708"/>
        <w:jc w:val="center"/>
        <w:rPr>
          <w:b/>
        </w:rPr>
      </w:pPr>
      <w:r>
        <w:rPr>
          <w:b/>
        </w:rPr>
        <w:t>Općinskog vijeća</w:t>
      </w:r>
    </w:p>
    <w:p>
      <w:pPr>
        <w:ind w:left="4956" w:firstLine="708"/>
        <w:jc w:val="center"/>
      </w:pPr>
      <w:r>
        <w:t xml:space="preserve">Krunoslav </w:t>
      </w:r>
      <w:proofErr w:type="spellStart"/>
      <w:r>
        <w:t>Morović</w:t>
      </w:r>
      <w:proofErr w:type="spellEnd"/>
    </w:p>
    <w:p/>
    <w:p/>
    <w:p/>
    <w:p/>
    <w:p/>
    <w:p/>
    <w:p/>
    <w:p>
      <w:pPr>
        <w:jc w:val="both"/>
        <w:rPr>
          <w:color w:val="FF0000"/>
        </w:rPr>
      </w:pPr>
    </w:p>
    <w:p>
      <w:pPr>
        <w:jc w:val="both"/>
        <w:rPr>
          <w:color w:val="FF0000"/>
        </w:rPr>
      </w:pPr>
    </w:p>
    <w:p>
      <w:pPr>
        <w:rPr>
          <w:b/>
          <w:bCs/>
          <w:sz w:val="22"/>
          <w:szCs w:val="22"/>
        </w:rPr>
      </w:pPr>
      <w:r>
        <w:rPr>
          <w:sz w:val="22"/>
          <w:szCs w:val="22"/>
        </w:rPr>
        <w:lastRenderedPageBreak/>
        <w:t xml:space="preserve">                      </w:t>
      </w:r>
      <w:r>
        <w:rPr>
          <w:noProof/>
          <w:sz w:val="22"/>
          <w:szCs w:val="22"/>
        </w:rPr>
        <w:drawing>
          <wp:inline distT="0" distB="0" distL="0" distR="0">
            <wp:extent cx="673100" cy="797560"/>
            <wp:effectExtent l="0" t="0" r="0"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97560"/>
                    </a:xfrm>
                    <a:prstGeom prst="rect">
                      <a:avLst/>
                    </a:prstGeom>
                    <a:noFill/>
                    <a:ln>
                      <a:noFill/>
                    </a:ln>
                  </pic:spPr>
                </pic:pic>
              </a:graphicData>
            </a:graphic>
          </wp:inline>
        </w:drawing>
      </w:r>
      <w:r>
        <w:rPr>
          <w:sz w:val="22"/>
          <w:szCs w:val="22"/>
        </w:rPr>
        <w:t xml:space="preserve">     </w:t>
      </w:r>
      <w:r>
        <w:rPr>
          <w:b/>
          <w:bCs/>
          <w:sz w:val="22"/>
          <w:szCs w:val="22"/>
        </w:rPr>
        <w:t xml:space="preserve">               </w:t>
      </w:r>
      <w:r>
        <w:rPr>
          <w:b/>
          <w:bCs/>
          <w:sz w:val="22"/>
          <w:szCs w:val="22"/>
        </w:rPr>
        <w:tab/>
        <w:t xml:space="preserve">                               </w:t>
      </w:r>
    </w:p>
    <w:p>
      <w:pPr>
        <w:rPr>
          <w:sz w:val="22"/>
          <w:szCs w:val="22"/>
        </w:rPr>
      </w:pPr>
      <w:r>
        <w:rPr>
          <w:b/>
          <w:bCs/>
          <w:sz w:val="22"/>
          <w:szCs w:val="22"/>
        </w:rPr>
        <w:t xml:space="preserve">          REPUBLIKA HRVATSKA                                                        </w:t>
      </w:r>
    </w:p>
    <w:p>
      <w:pPr>
        <w:rPr>
          <w:sz w:val="22"/>
          <w:szCs w:val="22"/>
        </w:rPr>
      </w:pPr>
      <w:r>
        <w:rPr>
          <w:b/>
          <w:bCs/>
          <w:sz w:val="22"/>
          <w:szCs w:val="22"/>
        </w:rPr>
        <w:t xml:space="preserve">OSJEČKO-BARANJSKA ŽUPANIJA                                                               </w:t>
      </w:r>
    </w:p>
    <w:tbl>
      <w:tblPr>
        <w:tblW w:w="0" w:type="auto"/>
        <w:tblLayout w:type="fixed"/>
        <w:tblCellMar>
          <w:top w:w="113" w:type="dxa"/>
        </w:tblCellMar>
        <w:tblLook w:val="04A0" w:firstRow="1" w:lastRow="0" w:firstColumn="1" w:lastColumn="0" w:noHBand="0" w:noVBand="1"/>
      </w:tblPr>
      <w:tblGrid>
        <w:gridCol w:w="945"/>
        <w:gridCol w:w="2799"/>
      </w:tblGrid>
      <w:tr>
        <w:trPr>
          <w:trHeight w:val="283"/>
        </w:trPr>
        <w:tc>
          <w:tcPr>
            <w:tcW w:w="945" w:type="dxa"/>
            <w:shd w:val="clear" w:color="auto" w:fill="auto"/>
          </w:tcPr>
          <w:p>
            <w:pPr>
              <w:jc w:val="center"/>
              <w:rPr>
                <w:sz w:val="22"/>
                <w:szCs w:val="22"/>
              </w:rPr>
            </w:pPr>
            <w:r>
              <w:rPr>
                <w:noProof/>
                <w:sz w:val="22"/>
                <w:szCs w:val="22"/>
                <w:lang w:val="x-none"/>
              </w:rPr>
              <w:drawing>
                <wp:inline distT="0" distB="0" distL="0" distR="0">
                  <wp:extent cx="255905" cy="34353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5" cy="343535"/>
                          </a:xfrm>
                          <a:prstGeom prst="rect">
                            <a:avLst/>
                          </a:prstGeom>
                          <a:noFill/>
                          <a:ln>
                            <a:noFill/>
                          </a:ln>
                        </pic:spPr>
                      </pic:pic>
                    </a:graphicData>
                  </a:graphic>
                </wp:inline>
              </w:drawing>
            </w:r>
          </w:p>
        </w:tc>
        <w:tc>
          <w:tcPr>
            <w:tcW w:w="2799" w:type="dxa"/>
            <w:shd w:val="clear" w:color="auto" w:fill="auto"/>
          </w:tcPr>
          <w:p>
            <w:pPr>
              <w:rPr>
                <w:b/>
                <w:bCs/>
                <w:sz w:val="22"/>
                <w:szCs w:val="22"/>
              </w:rPr>
            </w:pPr>
            <w:r>
              <w:rPr>
                <w:b/>
                <w:bCs/>
                <w:sz w:val="22"/>
                <w:szCs w:val="22"/>
              </w:rPr>
              <w:t>OPĆINA VLADISLAVCI</w:t>
            </w:r>
          </w:p>
          <w:p>
            <w:pPr>
              <w:rPr>
                <w:sz w:val="22"/>
                <w:szCs w:val="22"/>
              </w:rPr>
            </w:pPr>
            <w:r>
              <w:rPr>
                <w:b/>
                <w:bCs/>
                <w:sz w:val="22"/>
                <w:szCs w:val="22"/>
              </w:rPr>
              <w:t>OPĆINSKI NAČELNIK</w:t>
            </w:r>
          </w:p>
        </w:tc>
      </w:tr>
    </w:tbl>
    <w:p>
      <w:pPr>
        <w:rPr>
          <w:b/>
          <w:bCs/>
        </w:rPr>
      </w:pPr>
    </w:p>
    <w:p>
      <w:pPr>
        <w:ind w:left="-567"/>
      </w:pPr>
      <w:r>
        <w:rPr>
          <w:b/>
          <w:bCs/>
        </w:rPr>
        <w:t xml:space="preserve">         </w:t>
      </w:r>
      <w:r>
        <w:t xml:space="preserve">KLASA: 024-04/22-01/05            </w:t>
      </w:r>
    </w:p>
    <w:p>
      <w:pPr>
        <w:jc w:val="both"/>
      </w:pPr>
      <w:r>
        <w:t>URBROJ: 2158-41-02-22-01</w:t>
      </w:r>
    </w:p>
    <w:p>
      <w:pPr>
        <w:jc w:val="both"/>
      </w:pPr>
      <w:r>
        <w:t>Vladislavci, 5. rujna 2022.</w:t>
      </w:r>
    </w:p>
    <w:p>
      <w:pPr>
        <w:tabs>
          <w:tab w:val="left" w:pos="6855"/>
        </w:tabs>
        <w:jc w:val="both"/>
        <w:rPr>
          <w:color w:val="FF0000"/>
        </w:rPr>
      </w:pPr>
      <w:r>
        <w:rPr>
          <w:color w:val="FF0000"/>
        </w:rPr>
        <w:tab/>
      </w:r>
    </w:p>
    <w:p>
      <w:pPr>
        <w:jc w:val="both"/>
        <w:rPr>
          <w:color w:val="FF0000"/>
        </w:rPr>
      </w:pPr>
    </w:p>
    <w:p>
      <w:pPr>
        <w:jc w:val="both"/>
        <w:rPr>
          <w:color w:val="FF0000"/>
        </w:rPr>
      </w:pPr>
    </w:p>
    <w:p>
      <w:pPr>
        <w:jc w:val="both"/>
        <w:rPr>
          <w:color w:val="FF0000"/>
        </w:rPr>
      </w:pPr>
    </w:p>
    <w:p>
      <w:pPr>
        <w:jc w:val="both"/>
      </w:pPr>
      <w:r>
        <w:rPr>
          <w:color w:val="FF0000"/>
        </w:rPr>
        <w:tab/>
      </w:r>
      <w:r>
        <w:t>Temeljem članka 35. b Zakona o lokalnoj i područnoj (regionalnoj) samoupravi  («Narodne novine» br. 33/01., 60/01., 129/05., 109/07., 125/08.,36/09., 150/11., 144/12., 19/13., 137/15., 123/17., 98/19 i 144/20) te članka 36. Statuta Općine Vladislavci («Službeni glasnik» br. 3/13., 3/17., 2/18., 4/20., 8/20. i 2/21) Općinski načelnik podnosi</w:t>
      </w:r>
    </w:p>
    <w:p>
      <w:pPr>
        <w:jc w:val="both"/>
        <w:rPr>
          <w:color w:val="FF0000"/>
        </w:rPr>
      </w:pPr>
    </w:p>
    <w:p>
      <w:pPr>
        <w:jc w:val="both"/>
        <w:rPr>
          <w:color w:val="FF0000"/>
        </w:rPr>
      </w:pPr>
    </w:p>
    <w:p>
      <w:pPr>
        <w:jc w:val="both"/>
        <w:rPr>
          <w:color w:val="FF0000"/>
        </w:rPr>
      </w:pPr>
    </w:p>
    <w:p>
      <w:pPr>
        <w:jc w:val="center"/>
        <w:rPr>
          <w:b/>
        </w:rPr>
      </w:pPr>
      <w:r>
        <w:rPr>
          <w:b/>
        </w:rPr>
        <w:t>POLUGODIŠNJE IZVJEŠĆE O RADU OPĆINSKOG NAČELNIKA ZA RAZDOBLJE SIJEČANJ– LIPANJ 2022. GODINE</w:t>
      </w:r>
    </w:p>
    <w:p>
      <w:pPr>
        <w:jc w:val="both"/>
        <w:rPr>
          <w:b/>
        </w:rPr>
      </w:pPr>
    </w:p>
    <w:p>
      <w:pPr>
        <w:jc w:val="both"/>
        <w:rPr>
          <w:b/>
        </w:rPr>
      </w:pPr>
    </w:p>
    <w:p>
      <w:pPr>
        <w:jc w:val="both"/>
        <w:rPr>
          <w:b/>
          <w:color w:val="FF0000"/>
        </w:rPr>
      </w:pPr>
    </w:p>
    <w:p>
      <w:pPr>
        <w:jc w:val="both"/>
      </w:pPr>
      <w:r>
        <w:t>Podnosim izvješće o svom radu za razdoblje siječanj – lipanj 2022. godine.</w:t>
      </w:r>
    </w:p>
    <w:p>
      <w:pPr>
        <w:jc w:val="both"/>
        <w:rPr>
          <w:color w:val="FF0000"/>
        </w:rPr>
      </w:pPr>
    </w:p>
    <w:p>
      <w:pPr>
        <w:jc w:val="both"/>
        <w:rPr>
          <w:color w:val="FF0000"/>
        </w:rPr>
      </w:pPr>
    </w:p>
    <w:p>
      <w:pPr>
        <w:jc w:val="both"/>
      </w:pPr>
      <w:r>
        <w:t>Stanje žiro-računa na dan 30.6.2022. iznosilo je 1.052.674,48 kn, a stanje blagajne iznosilo je 2.169,13 kn.</w:t>
      </w:r>
    </w:p>
    <w:p>
      <w:pPr>
        <w:jc w:val="both"/>
        <w:rPr>
          <w:color w:val="FF0000"/>
        </w:rPr>
      </w:pPr>
    </w:p>
    <w:p>
      <w:pPr>
        <w:jc w:val="both"/>
        <w:rPr>
          <w:color w:val="FF0000"/>
        </w:rPr>
      </w:pPr>
    </w:p>
    <w:p>
      <w:pPr>
        <w:jc w:val="both"/>
        <w:rPr>
          <w:lang w:val="sv-SE"/>
        </w:rPr>
      </w:pPr>
      <w:r>
        <w:t xml:space="preserve">U razdoblju od 1. 1. do 30.6.2022. Općina Vladislavci je ostvarila ukupne prihode u iznosu od </w:t>
      </w:r>
      <w:r>
        <w:rPr>
          <w:lang w:val="sv-SE"/>
        </w:rPr>
        <w:t>4.951.784,72 kn, a realizacija tekućih rashoda i rashoda za nabavu nefinancijske imovine iznosi 4.884.935,51 kn.</w:t>
      </w:r>
    </w:p>
    <w:p>
      <w:pPr>
        <w:jc w:val="both"/>
        <w:rPr>
          <w:color w:val="FF0000"/>
          <w:lang w:val="sv-SE"/>
        </w:rPr>
      </w:pPr>
    </w:p>
    <w:p>
      <w:pPr>
        <w:jc w:val="both"/>
        <w:rPr>
          <w:color w:val="FF0000"/>
        </w:rPr>
      </w:pPr>
    </w:p>
    <w:p>
      <w:pPr>
        <w:jc w:val="both"/>
        <w:rPr>
          <w:color w:val="FF0000"/>
        </w:rPr>
      </w:pPr>
    </w:p>
    <w:p>
      <w:pPr>
        <w:jc w:val="both"/>
        <w:rPr>
          <w:b/>
          <w:i/>
          <w:u w:val="single"/>
        </w:rPr>
      </w:pPr>
      <w:r>
        <w:rPr>
          <w:b/>
          <w:i/>
          <w:u w:val="single"/>
        </w:rPr>
        <w:t>PRIHODI KOJI SU OSTVARENI U RAZDOBLJU OD 1.1.2022. do 30.6.2022. su:</w:t>
      </w:r>
    </w:p>
    <w:p>
      <w:pPr>
        <w:jc w:val="both"/>
        <w:rPr>
          <w:color w:val="FF0000"/>
        </w:rPr>
      </w:pPr>
    </w:p>
    <w:p>
      <w:pPr>
        <w:jc w:val="both"/>
        <w:rPr>
          <w:color w:val="FF0000"/>
        </w:rPr>
      </w:pPr>
    </w:p>
    <w:p>
      <w:pPr>
        <w:jc w:val="both"/>
        <w:rPr>
          <w:color w:val="FF0000"/>
        </w:rPr>
      </w:pPr>
    </w:p>
    <w:p>
      <w:pPr>
        <w:numPr>
          <w:ilvl w:val="0"/>
          <w:numId w:val="4"/>
        </w:numPr>
        <w:jc w:val="both"/>
      </w:pPr>
      <w:r>
        <w:rPr>
          <w:b/>
        </w:rPr>
        <w:t>PRIHODI OD POREZA</w:t>
      </w:r>
      <w:r>
        <w:t xml:space="preserve">  u iznosu od 702.737,87 kn  </w:t>
      </w:r>
    </w:p>
    <w:p>
      <w:pPr>
        <w:ind w:left="360"/>
        <w:jc w:val="both"/>
      </w:pPr>
    </w:p>
    <w:p>
      <w:pPr>
        <w:ind w:left="360"/>
        <w:jc w:val="both"/>
      </w:pPr>
    </w:p>
    <w:p>
      <w:pPr>
        <w:widowControl w:val="0"/>
        <w:numPr>
          <w:ilvl w:val="0"/>
          <w:numId w:val="4"/>
        </w:numPr>
        <w:autoSpaceDE w:val="0"/>
        <w:autoSpaceDN w:val="0"/>
        <w:spacing w:before="4"/>
        <w:ind w:right="-108"/>
        <w:jc w:val="both"/>
        <w:rPr>
          <w:rFonts w:eastAsia="Calibri"/>
          <w:lang w:val="en-US" w:eastAsia="en-US"/>
        </w:rPr>
      </w:pPr>
      <w:r>
        <w:rPr>
          <w:b/>
        </w:rPr>
        <w:t>PRIHODI OD POMOĆI IZ INOZEMSTVA I OD SUBJEKATA UNUTAR OPĆEG PRORAČUNA</w:t>
      </w:r>
      <w:r>
        <w:t xml:space="preserve"> u iznosu od 3.486.285,62 kn.</w:t>
      </w:r>
    </w:p>
    <w:p>
      <w:pPr>
        <w:widowControl w:val="0"/>
        <w:autoSpaceDE w:val="0"/>
        <w:autoSpaceDN w:val="0"/>
        <w:spacing w:before="4" w:line="275" w:lineRule="exact"/>
        <w:ind w:left="1218" w:right="-108"/>
        <w:rPr>
          <w:rFonts w:eastAsia="Calibri"/>
          <w:b/>
          <w:bCs/>
          <w:u w:val="single"/>
          <w:lang w:val="sv-SE" w:eastAsia="en-US"/>
        </w:rPr>
      </w:pPr>
    </w:p>
    <w:p>
      <w:pPr>
        <w:ind w:left="708"/>
        <w:jc w:val="both"/>
        <w:rPr>
          <w:color w:val="FF0000"/>
        </w:rPr>
      </w:pPr>
    </w:p>
    <w:p>
      <w:pPr>
        <w:ind w:left="708"/>
        <w:jc w:val="both"/>
        <w:rPr>
          <w:color w:val="FF0000"/>
        </w:rPr>
      </w:pPr>
    </w:p>
    <w:p>
      <w:pPr>
        <w:numPr>
          <w:ilvl w:val="0"/>
          <w:numId w:val="6"/>
        </w:numPr>
        <w:tabs>
          <w:tab w:val="num" w:pos="360"/>
        </w:tabs>
        <w:ind w:left="360"/>
        <w:jc w:val="both"/>
        <w:rPr>
          <w:i/>
        </w:rPr>
      </w:pPr>
      <w:r>
        <w:rPr>
          <w:b/>
        </w:rPr>
        <w:t>PRIHODI OD IMOVINE</w:t>
      </w:r>
      <w:r>
        <w:t xml:space="preserve"> (kamate na depozite po viđenju, prihodi od naknada za koncesiju, prihodi od zakupa poljoprivrednog zemljišta, prihodi od zakupa poslovnih objekata, naknada za pravo služnosti, zakup javne površine, najam stanova i naknade za zadržavanje nezakonito izgrađenih zgrada u prostoru) u iznosu od 301.415,31 kn.</w:t>
      </w:r>
    </w:p>
    <w:p>
      <w:pPr>
        <w:jc w:val="both"/>
        <w:rPr>
          <w:i/>
          <w:color w:val="FF0000"/>
        </w:rPr>
      </w:pPr>
    </w:p>
    <w:p>
      <w:pPr>
        <w:numPr>
          <w:ilvl w:val="0"/>
          <w:numId w:val="6"/>
        </w:numPr>
        <w:tabs>
          <w:tab w:val="num" w:pos="360"/>
        </w:tabs>
        <w:ind w:left="360"/>
        <w:jc w:val="both"/>
        <w:rPr>
          <w:i/>
        </w:rPr>
      </w:pPr>
      <w:r>
        <w:rPr>
          <w:b/>
        </w:rPr>
        <w:t>PRIHODI OD UPRAVNIH I ADMINISTRATIVNIH PRISTOJBI, PRISTOJBI PO POSEBNIM PROPISIMA I NAKNADA</w:t>
      </w:r>
      <w:r>
        <w:t xml:space="preserve"> (izgradnja nadgrobnih spomenika, grobna naknada, vodni doprinos, komunalna naknada i komunalni doprinos)</w:t>
      </w:r>
      <w:r>
        <w:rPr>
          <w:b/>
        </w:rPr>
        <w:t xml:space="preserve"> </w:t>
      </w:r>
      <w:r>
        <w:t>u iznosu od 382.886,68 kn.</w:t>
      </w:r>
    </w:p>
    <w:p>
      <w:pPr>
        <w:jc w:val="both"/>
        <w:rPr>
          <w:i/>
          <w:color w:val="FF0000"/>
        </w:rPr>
      </w:pPr>
    </w:p>
    <w:p>
      <w:pPr>
        <w:jc w:val="both"/>
        <w:rPr>
          <w:i/>
          <w:color w:val="FF0000"/>
        </w:rPr>
      </w:pPr>
    </w:p>
    <w:p>
      <w:pPr>
        <w:numPr>
          <w:ilvl w:val="0"/>
          <w:numId w:val="6"/>
        </w:numPr>
        <w:tabs>
          <w:tab w:val="num" w:pos="360"/>
        </w:tabs>
        <w:ind w:left="360"/>
        <w:jc w:val="both"/>
        <w:rPr>
          <w:i/>
        </w:rPr>
      </w:pPr>
      <w:r>
        <w:rPr>
          <w:b/>
        </w:rPr>
        <w:t xml:space="preserve">PRIHODI OD PRODAJE NEFINANCIJSKE IMOVINE </w:t>
      </w:r>
      <w:r>
        <w:t>(prihodi od prodaje Državnog poljoprivrednog zemljišta na području Općine Vladislavci u iznosu od 78.459,24 kn</w:t>
      </w:r>
    </w:p>
    <w:p>
      <w:pPr>
        <w:jc w:val="both"/>
        <w:rPr>
          <w:i/>
          <w:color w:val="FF0000"/>
        </w:rPr>
      </w:pPr>
    </w:p>
    <w:p>
      <w:pPr>
        <w:jc w:val="both"/>
        <w:rPr>
          <w:i/>
          <w:color w:val="FF0000"/>
        </w:rPr>
      </w:pPr>
    </w:p>
    <w:p>
      <w:pPr>
        <w:jc w:val="both"/>
        <w:rPr>
          <w:b/>
          <w:i/>
          <w:u w:val="single"/>
        </w:rPr>
      </w:pPr>
      <w:r>
        <w:rPr>
          <w:b/>
          <w:i/>
          <w:u w:val="single"/>
        </w:rPr>
        <w:t>RASHODI KOJI SU OSTVARENI U RAZDOBLJU OD 1.1.2022. do 30.6.2022. su:</w:t>
      </w:r>
    </w:p>
    <w:p>
      <w:pPr>
        <w:jc w:val="both"/>
        <w:rPr>
          <w:i/>
        </w:rPr>
      </w:pPr>
    </w:p>
    <w:p>
      <w:pPr>
        <w:numPr>
          <w:ilvl w:val="0"/>
          <w:numId w:val="6"/>
        </w:numPr>
        <w:tabs>
          <w:tab w:val="num" w:pos="360"/>
        </w:tabs>
        <w:ind w:left="360"/>
        <w:jc w:val="both"/>
        <w:rPr>
          <w:i/>
        </w:rPr>
      </w:pPr>
      <w:r>
        <w:rPr>
          <w:b/>
        </w:rPr>
        <w:t>RASHODI ZA ZAPOSLENE</w:t>
      </w:r>
      <w:r>
        <w:t xml:space="preserve"> (odnose se na rashode za plaće zaposlenih i osoba zaposlenih putem Programa Javnih radova, Programa „Život kakav želim, zaželim Vladislavci Faza II. i Programa „Zajedno u zajednici u Općini Vladislavci“) u iznosu od 1.729.929,51 kn.</w:t>
      </w:r>
    </w:p>
    <w:p>
      <w:pPr>
        <w:jc w:val="both"/>
        <w:rPr>
          <w:i/>
        </w:rPr>
      </w:pPr>
    </w:p>
    <w:p>
      <w:pPr>
        <w:numPr>
          <w:ilvl w:val="0"/>
          <w:numId w:val="6"/>
        </w:numPr>
        <w:tabs>
          <w:tab w:val="num" w:pos="360"/>
        </w:tabs>
        <w:ind w:left="360"/>
        <w:jc w:val="both"/>
        <w:rPr>
          <w:i/>
        </w:rPr>
      </w:pPr>
      <w:r>
        <w:rPr>
          <w:b/>
        </w:rPr>
        <w:t>MATERIJALNI RASHODI</w:t>
      </w:r>
      <w:r>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premije osiguranja, reprezentacija, pristojbe i naknade i ostale nespomenute rashode poslovanja)</w:t>
      </w:r>
      <w:r>
        <w:rPr>
          <w:b/>
        </w:rPr>
        <w:t xml:space="preserve"> </w:t>
      </w:r>
      <w:r>
        <w:t>u iznosu od 1.482.194,09 kn.</w:t>
      </w:r>
    </w:p>
    <w:p>
      <w:pPr>
        <w:jc w:val="both"/>
        <w:rPr>
          <w:i/>
          <w:color w:val="FF0000"/>
        </w:rPr>
      </w:pPr>
    </w:p>
    <w:p>
      <w:pPr>
        <w:numPr>
          <w:ilvl w:val="0"/>
          <w:numId w:val="6"/>
        </w:numPr>
        <w:tabs>
          <w:tab w:val="num" w:pos="360"/>
        </w:tabs>
        <w:ind w:left="360"/>
        <w:jc w:val="both"/>
        <w:rPr>
          <w:i/>
        </w:rPr>
      </w:pPr>
      <w:r>
        <w:rPr>
          <w:b/>
        </w:rPr>
        <w:t xml:space="preserve">FINANCIJSKI RASHODI </w:t>
      </w:r>
      <w:r>
        <w:t>(odnose se na rashode za primljene kredite i zajmove, na bankarske usluge i usluge platnog prometa, zatezne kamate i ostale nespomenute financijske rashode)</w:t>
      </w:r>
      <w:r>
        <w:rPr>
          <w:b/>
        </w:rPr>
        <w:t xml:space="preserve"> </w:t>
      </w:r>
      <w:r>
        <w:t xml:space="preserve"> u iznosu od 20.008,62 kn.</w:t>
      </w:r>
    </w:p>
    <w:p>
      <w:pPr>
        <w:pStyle w:val="Odlomakpopisa"/>
        <w:rPr>
          <w:i/>
        </w:rPr>
      </w:pPr>
    </w:p>
    <w:p>
      <w:pPr>
        <w:numPr>
          <w:ilvl w:val="0"/>
          <w:numId w:val="6"/>
        </w:numPr>
        <w:tabs>
          <w:tab w:val="num" w:pos="360"/>
        </w:tabs>
        <w:ind w:left="360"/>
        <w:jc w:val="both"/>
        <w:rPr>
          <w:b/>
          <w:bCs/>
          <w:iCs/>
        </w:rPr>
      </w:pPr>
      <w:r>
        <w:rPr>
          <w:b/>
          <w:bCs/>
          <w:iCs/>
        </w:rPr>
        <w:t>SUBVENCIJE (</w:t>
      </w:r>
      <w:r>
        <w:rPr>
          <w:iCs/>
        </w:rPr>
        <w:t>odnose se na rashode nastale za sufinanciranje boravka djece u vrtićima) su ostvarene u iznosu od 114.900,00 kn</w:t>
      </w:r>
    </w:p>
    <w:p>
      <w:pPr>
        <w:pStyle w:val="Odlomakpopisa"/>
        <w:rPr>
          <w:i/>
        </w:rPr>
      </w:pPr>
    </w:p>
    <w:p>
      <w:pPr>
        <w:numPr>
          <w:ilvl w:val="0"/>
          <w:numId w:val="6"/>
        </w:numPr>
        <w:tabs>
          <w:tab w:val="num" w:pos="360"/>
        </w:tabs>
        <w:ind w:left="360"/>
        <w:jc w:val="both"/>
        <w:rPr>
          <w:iCs/>
        </w:rPr>
      </w:pPr>
      <w:r>
        <w:rPr>
          <w:b/>
          <w:bCs/>
          <w:iCs/>
        </w:rPr>
        <w:t xml:space="preserve">POMOĆI DANE U INOZEMSTVO I UNUTAR OPĆEG PRORAČUNA – </w:t>
      </w:r>
      <w:r>
        <w:rPr>
          <w:iCs/>
        </w:rPr>
        <w:t>ovi rashodi ostvareni su u iznosu od 183.212,68 kn, a odnose se na decentralizirana sredstva za vatrogasce i sufinanciranje boravka djece u vrtićima kojima je osnivač JLRPS.</w:t>
      </w:r>
    </w:p>
    <w:p>
      <w:pPr>
        <w:jc w:val="both"/>
        <w:rPr>
          <w:i/>
          <w:color w:val="FF0000"/>
        </w:rPr>
      </w:pPr>
    </w:p>
    <w:p>
      <w:pPr>
        <w:numPr>
          <w:ilvl w:val="0"/>
          <w:numId w:val="6"/>
        </w:numPr>
        <w:tabs>
          <w:tab w:val="num" w:pos="360"/>
        </w:tabs>
        <w:ind w:left="360"/>
        <w:jc w:val="both"/>
        <w:rPr>
          <w:i/>
        </w:rPr>
      </w:pPr>
      <w:r>
        <w:rPr>
          <w:b/>
        </w:rPr>
        <w:t xml:space="preserve">NAKNADE GRAĐANIMA I KUĆANSTVIMA NA TEMELJU OSIGURANJA I DRUGE NAKNADE </w:t>
      </w:r>
      <w:r>
        <w:t>( odnose se na naknade građanima i kućanstvima u novcu i naravi, troškovi za korisnike socijalne skrbi, stipendije, troškovi prijevoza učenika i studenata, troškovi prehrane učenika) u iznosu od 156.486,62 kn.</w:t>
      </w:r>
    </w:p>
    <w:p>
      <w:pPr>
        <w:jc w:val="both"/>
        <w:rPr>
          <w:i/>
          <w:color w:val="FF0000"/>
        </w:rPr>
      </w:pPr>
    </w:p>
    <w:p>
      <w:pPr>
        <w:numPr>
          <w:ilvl w:val="0"/>
          <w:numId w:val="6"/>
        </w:numPr>
        <w:tabs>
          <w:tab w:val="num" w:pos="360"/>
        </w:tabs>
        <w:ind w:left="360"/>
        <w:jc w:val="both"/>
        <w:rPr>
          <w:i/>
        </w:rPr>
      </w:pPr>
      <w:r>
        <w:rPr>
          <w:b/>
        </w:rPr>
        <w:lastRenderedPageBreak/>
        <w:t xml:space="preserve">OSTALI RASHODI </w:t>
      </w:r>
      <w:r>
        <w:t>( odnose se na tekuće donacije Udrugama, KUD-ovima i Športskim društvima i na izvanredne rashode) u iznosu od 381.262,48 kn.</w:t>
      </w:r>
    </w:p>
    <w:p>
      <w:pPr>
        <w:jc w:val="both"/>
        <w:rPr>
          <w:i/>
          <w:color w:val="FF0000"/>
        </w:rPr>
      </w:pPr>
    </w:p>
    <w:p>
      <w:pPr>
        <w:ind w:left="720"/>
        <w:contextualSpacing/>
      </w:pPr>
    </w:p>
    <w:p>
      <w:pPr>
        <w:widowControl w:val="0"/>
        <w:numPr>
          <w:ilvl w:val="0"/>
          <w:numId w:val="6"/>
        </w:numPr>
        <w:tabs>
          <w:tab w:val="num" w:pos="720"/>
          <w:tab w:val="left" w:pos="9000"/>
        </w:tabs>
        <w:autoSpaceDE w:val="0"/>
        <w:autoSpaceDN w:val="0"/>
        <w:spacing w:before="1" w:line="274" w:lineRule="exact"/>
        <w:ind w:left="138" w:right="72" w:hanging="284"/>
        <w:contextualSpacing/>
        <w:jc w:val="both"/>
        <w:rPr>
          <w:rFonts w:eastAsia="Calibri"/>
          <w:color w:val="FF0000"/>
          <w:lang w:val="sv-SE" w:eastAsia="en-US"/>
        </w:rPr>
      </w:pPr>
      <w:r>
        <w:rPr>
          <w:rFonts w:eastAsia="Calibri"/>
          <w:b/>
          <w:w w:val="105"/>
          <w:lang w:val="sv-SE" w:eastAsia="en-US"/>
        </w:rPr>
        <w:t>RASHODI ZA NABAVU NEFINANCIJSKE IMOVINE</w:t>
      </w:r>
      <w:r>
        <w:rPr>
          <w:rFonts w:eastAsia="Calibri"/>
          <w:bCs/>
          <w:w w:val="105"/>
          <w:lang w:val="sv-SE" w:eastAsia="en-US"/>
        </w:rPr>
        <w:t xml:space="preserve"> ostvareni su u iznosu od 816.941,51 kn, a odnose se na rashode za izgradnju pješačke staze na groblju u Vladislavcima, rekonstrukciju pješačkih staza u Vladislavcima, izrada elektroormara za upravljanje led rasvjetom na nogometnim igralištima u Vladislavcima i Dopsinu i izrada izrada elektroormara za koncerte i manifestacije u Vladislavcima.</w:t>
      </w:r>
    </w:p>
    <w:p>
      <w:pPr>
        <w:widowControl w:val="0"/>
        <w:tabs>
          <w:tab w:val="left" w:pos="9000"/>
        </w:tabs>
        <w:autoSpaceDE w:val="0"/>
        <w:autoSpaceDN w:val="0"/>
        <w:ind w:left="138" w:right="72"/>
        <w:jc w:val="both"/>
        <w:rPr>
          <w:rFonts w:eastAsia="Calibri"/>
          <w:color w:val="FF0000"/>
          <w:lang w:val="sv-SE" w:eastAsia="en-US"/>
        </w:rPr>
      </w:pPr>
    </w:p>
    <w:p>
      <w:pPr>
        <w:widowControl w:val="0"/>
        <w:tabs>
          <w:tab w:val="left" w:pos="9000"/>
        </w:tabs>
        <w:autoSpaceDE w:val="0"/>
        <w:autoSpaceDN w:val="0"/>
        <w:ind w:left="138" w:right="72"/>
        <w:jc w:val="both"/>
        <w:rPr>
          <w:rFonts w:eastAsia="Calibri"/>
          <w:b/>
          <w:bCs/>
          <w:lang w:val="sv-SE" w:eastAsia="en-US"/>
        </w:rPr>
      </w:pPr>
      <w:r>
        <w:rPr>
          <w:rFonts w:eastAsia="Calibri"/>
          <w:b/>
          <w:bCs/>
          <w:lang w:val="sv-SE" w:eastAsia="en-US"/>
        </w:rPr>
        <w:t>Općina Vladislavci je u razdoblju od 1.1.2022. do 30.6.2022. g. ostvarila</w:t>
      </w:r>
    </w:p>
    <w:p>
      <w:pPr>
        <w:widowControl w:val="0"/>
        <w:tabs>
          <w:tab w:val="left" w:pos="9000"/>
        </w:tabs>
        <w:autoSpaceDE w:val="0"/>
        <w:autoSpaceDN w:val="0"/>
        <w:ind w:left="138" w:right="72"/>
        <w:jc w:val="both"/>
        <w:rPr>
          <w:rFonts w:eastAsia="Calibri"/>
          <w:lang w:val="sv-SE" w:eastAsia="en-US"/>
        </w:rPr>
      </w:pPr>
    </w:p>
    <w:p>
      <w:pPr>
        <w:ind w:left="360"/>
        <w:jc w:val="both"/>
        <w:rPr>
          <w:i/>
        </w:rPr>
      </w:pPr>
    </w:p>
    <w:tbl>
      <w:tblPr>
        <w:tblW w:w="6900" w:type="dxa"/>
        <w:tblLook w:val="04A0" w:firstRow="1" w:lastRow="0" w:firstColumn="1" w:lastColumn="0" w:noHBand="0" w:noVBand="1"/>
      </w:tblPr>
      <w:tblGrid>
        <w:gridCol w:w="5020"/>
        <w:gridCol w:w="1880"/>
      </w:tblGrid>
      <w:tr>
        <w:trPr>
          <w:trHeight w:val="705"/>
        </w:trPr>
        <w:tc>
          <w:tcPr>
            <w:tcW w:w="5020" w:type="dxa"/>
            <w:tcBorders>
              <w:top w:val="nil"/>
              <w:left w:val="nil"/>
              <w:bottom w:val="nil"/>
              <w:right w:val="nil"/>
            </w:tcBorders>
            <w:shd w:val="clear" w:color="auto" w:fill="auto"/>
            <w:hideMark/>
          </w:tcPr>
          <w:p>
            <w:r>
              <w:rPr>
                <w:rFonts w:eastAsia="Calibri"/>
                <w:lang w:val="sv-SE" w:eastAsia="en-US"/>
              </w:rPr>
              <w:t xml:space="preserve">UKUPNI PRIHODI I PRIMICI                                                   </w:t>
            </w:r>
          </w:p>
        </w:tc>
        <w:tc>
          <w:tcPr>
            <w:tcW w:w="1880" w:type="dxa"/>
            <w:tcBorders>
              <w:top w:val="nil"/>
              <w:left w:val="nil"/>
              <w:bottom w:val="nil"/>
              <w:right w:val="nil"/>
            </w:tcBorders>
            <w:shd w:val="clear" w:color="auto" w:fill="auto"/>
            <w:noWrap/>
            <w:hideMark/>
          </w:tcPr>
          <w:p>
            <w:pPr>
              <w:jc w:val="right"/>
              <w:rPr>
                <w:rFonts w:ascii="Calibri" w:hAnsi="Calibri" w:cs="Calibri"/>
                <w:sz w:val="22"/>
                <w:szCs w:val="22"/>
              </w:rPr>
            </w:pPr>
            <w:r>
              <w:rPr>
                <w:rFonts w:ascii="Calibri" w:hAnsi="Calibri" w:cs="Calibri"/>
                <w:sz w:val="22"/>
                <w:szCs w:val="22"/>
              </w:rPr>
              <w:t>4.951.784,72</w:t>
            </w:r>
          </w:p>
        </w:tc>
      </w:tr>
      <w:tr>
        <w:trPr>
          <w:trHeight w:val="795"/>
        </w:trPr>
        <w:tc>
          <w:tcPr>
            <w:tcW w:w="5020" w:type="dxa"/>
            <w:tcBorders>
              <w:top w:val="nil"/>
              <w:left w:val="nil"/>
              <w:bottom w:val="nil"/>
              <w:right w:val="nil"/>
            </w:tcBorders>
            <w:shd w:val="clear" w:color="auto" w:fill="auto"/>
            <w:hideMark/>
          </w:tcPr>
          <w:p>
            <w:r>
              <w:rPr>
                <w:rFonts w:eastAsia="Calibri"/>
                <w:lang w:val="sv-SE" w:eastAsia="en-US"/>
              </w:rPr>
              <w:t>UKUPNI RASHODI I IZDACI</w:t>
            </w:r>
          </w:p>
        </w:tc>
        <w:tc>
          <w:tcPr>
            <w:tcW w:w="1880" w:type="dxa"/>
            <w:tcBorders>
              <w:top w:val="nil"/>
              <w:left w:val="nil"/>
              <w:bottom w:val="nil"/>
              <w:right w:val="nil"/>
            </w:tcBorders>
            <w:shd w:val="clear" w:color="auto" w:fill="auto"/>
            <w:noWrap/>
            <w:hideMark/>
          </w:tcPr>
          <w:p>
            <w:pPr>
              <w:jc w:val="right"/>
              <w:rPr>
                <w:rFonts w:ascii="Calibri" w:hAnsi="Calibri" w:cs="Calibri"/>
                <w:sz w:val="22"/>
                <w:szCs w:val="22"/>
              </w:rPr>
            </w:pPr>
            <w:r>
              <w:rPr>
                <w:rFonts w:ascii="Calibri" w:hAnsi="Calibri" w:cs="Calibri"/>
                <w:sz w:val="22"/>
                <w:szCs w:val="22"/>
              </w:rPr>
              <w:t>4.884.935,51</w:t>
            </w:r>
          </w:p>
        </w:tc>
      </w:tr>
      <w:tr>
        <w:trPr>
          <w:trHeight w:val="840"/>
        </w:trPr>
        <w:tc>
          <w:tcPr>
            <w:tcW w:w="5020" w:type="dxa"/>
            <w:tcBorders>
              <w:top w:val="nil"/>
              <w:left w:val="nil"/>
              <w:bottom w:val="nil"/>
              <w:right w:val="nil"/>
            </w:tcBorders>
            <w:shd w:val="clear" w:color="auto" w:fill="auto"/>
            <w:hideMark/>
          </w:tcPr>
          <w:p>
            <w:r>
              <w:rPr>
                <w:rFonts w:eastAsia="Calibri"/>
                <w:lang w:val="sv-SE" w:eastAsia="en-US"/>
              </w:rPr>
              <w:t>VIŠAK PRIHODA I PRIMITAKA</w:t>
            </w:r>
          </w:p>
        </w:tc>
        <w:tc>
          <w:tcPr>
            <w:tcW w:w="1880" w:type="dxa"/>
            <w:tcBorders>
              <w:top w:val="nil"/>
              <w:left w:val="nil"/>
              <w:bottom w:val="nil"/>
              <w:right w:val="nil"/>
            </w:tcBorders>
            <w:shd w:val="clear" w:color="auto" w:fill="auto"/>
            <w:noWrap/>
            <w:hideMark/>
          </w:tcPr>
          <w:p>
            <w:pPr>
              <w:jc w:val="right"/>
              <w:rPr>
                <w:rFonts w:ascii="Calibri" w:hAnsi="Calibri" w:cs="Calibri"/>
                <w:sz w:val="22"/>
                <w:szCs w:val="22"/>
              </w:rPr>
            </w:pPr>
            <w:r>
              <w:rPr>
                <w:rFonts w:ascii="Calibri" w:hAnsi="Calibri" w:cs="Calibri"/>
                <w:sz w:val="22"/>
                <w:szCs w:val="22"/>
              </w:rPr>
              <w:t>66.849,21</w:t>
            </w:r>
          </w:p>
        </w:tc>
      </w:tr>
      <w:tr>
        <w:trPr>
          <w:trHeight w:val="900"/>
        </w:trPr>
        <w:tc>
          <w:tcPr>
            <w:tcW w:w="5020" w:type="dxa"/>
            <w:tcBorders>
              <w:top w:val="nil"/>
              <w:left w:val="nil"/>
              <w:bottom w:val="nil"/>
              <w:right w:val="nil"/>
            </w:tcBorders>
            <w:shd w:val="clear" w:color="auto" w:fill="auto"/>
            <w:hideMark/>
          </w:tcPr>
          <w:p>
            <w:r>
              <w:rPr>
                <w:rFonts w:eastAsia="Calibri"/>
                <w:lang w:val="sv-SE" w:eastAsia="en-US"/>
              </w:rPr>
              <w:t>VIŠAK PRIHODA I PRIMITAKA (PRENESENI)</w:t>
            </w:r>
          </w:p>
        </w:tc>
        <w:tc>
          <w:tcPr>
            <w:tcW w:w="1880" w:type="dxa"/>
            <w:tcBorders>
              <w:top w:val="nil"/>
              <w:left w:val="nil"/>
              <w:bottom w:val="nil"/>
              <w:right w:val="nil"/>
            </w:tcBorders>
            <w:shd w:val="clear" w:color="auto" w:fill="auto"/>
            <w:noWrap/>
            <w:hideMark/>
          </w:tcPr>
          <w:p>
            <w:pPr>
              <w:jc w:val="right"/>
              <w:rPr>
                <w:rFonts w:ascii="Calibri" w:hAnsi="Calibri" w:cs="Calibri"/>
                <w:sz w:val="22"/>
                <w:szCs w:val="22"/>
              </w:rPr>
            </w:pPr>
            <w:r>
              <w:rPr>
                <w:rFonts w:ascii="Calibri" w:hAnsi="Calibri" w:cs="Calibri"/>
                <w:sz w:val="22"/>
                <w:szCs w:val="22"/>
              </w:rPr>
              <w:t>22.786,45</w:t>
            </w:r>
          </w:p>
        </w:tc>
      </w:tr>
      <w:tr>
        <w:trPr>
          <w:trHeight w:val="915"/>
        </w:trPr>
        <w:tc>
          <w:tcPr>
            <w:tcW w:w="5020" w:type="dxa"/>
            <w:tcBorders>
              <w:top w:val="nil"/>
              <w:left w:val="nil"/>
              <w:bottom w:val="nil"/>
              <w:right w:val="nil"/>
            </w:tcBorders>
            <w:shd w:val="clear" w:color="auto" w:fill="auto"/>
            <w:hideMark/>
          </w:tcPr>
          <w:p>
            <w:pPr>
              <w:rPr>
                <w:rFonts w:eastAsia="Calibri"/>
                <w:lang w:val="sv-SE" w:eastAsia="en-US"/>
              </w:rPr>
            </w:pPr>
            <w:r>
              <w:rPr>
                <w:rFonts w:eastAsia="Calibri"/>
                <w:lang w:val="sv-SE" w:eastAsia="en-US"/>
              </w:rPr>
              <w:t>VIŠAK PRIHODA I PRIMITAKA RASPOLOŽIV U SLJEDEĆEM RAZDOBLJU</w:t>
            </w:r>
          </w:p>
          <w:p/>
          <w:p/>
        </w:tc>
        <w:tc>
          <w:tcPr>
            <w:tcW w:w="1880" w:type="dxa"/>
            <w:tcBorders>
              <w:top w:val="nil"/>
              <w:left w:val="nil"/>
              <w:bottom w:val="nil"/>
              <w:right w:val="nil"/>
            </w:tcBorders>
            <w:shd w:val="clear" w:color="auto" w:fill="auto"/>
            <w:noWrap/>
            <w:hideMark/>
          </w:tcPr>
          <w:p>
            <w:pPr>
              <w:jc w:val="right"/>
              <w:rPr>
                <w:rFonts w:ascii="Calibri" w:hAnsi="Calibri" w:cs="Calibri"/>
                <w:sz w:val="22"/>
                <w:szCs w:val="22"/>
              </w:rPr>
            </w:pPr>
            <w:r>
              <w:rPr>
                <w:rFonts w:ascii="Calibri" w:hAnsi="Calibri" w:cs="Calibri"/>
                <w:sz w:val="22"/>
                <w:szCs w:val="22"/>
              </w:rPr>
              <w:t>89.635,66</w:t>
            </w:r>
          </w:p>
        </w:tc>
      </w:tr>
    </w:tbl>
    <w:p>
      <w:pPr>
        <w:ind w:left="720"/>
        <w:contextualSpacing/>
      </w:pPr>
    </w:p>
    <w:p>
      <w:pPr>
        <w:autoSpaceDE w:val="0"/>
        <w:autoSpaceDN w:val="0"/>
        <w:adjustRightInd w:val="0"/>
        <w:jc w:val="both"/>
      </w:pPr>
    </w:p>
    <w:p>
      <w:pPr>
        <w:ind w:left="720"/>
        <w:contextualSpacing/>
      </w:pPr>
    </w:p>
    <w:p>
      <w:pPr>
        <w:ind w:left="720"/>
        <w:contextualSpacing/>
      </w:pPr>
    </w:p>
    <w:p>
      <w:pPr>
        <w:ind w:left="720"/>
        <w:contextualSpacing/>
      </w:pPr>
    </w:p>
    <w:p>
      <w:pPr>
        <w:ind w:left="720"/>
        <w:contextualSpacing/>
      </w:pPr>
    </w:p>
    <w:p>
      <w:pPr>
        <w:ind w:left="720"/>
        <w:contextualSpacing/>
      </w:pPr>
    </w:p>
    <w:p>
      <w:pPr>
        <w:ind w:left="720"/>
        <w:contextualSpacing/>
      </w:pPr>
    </w:p>
    <w:p>
      <w:pPr>
        <w:ind w:left="720"/>
        <w:contextualSpacing/>
      </w:pPr>
    </w:p>
    <w:p>
      <w:pPr>
        <w:ind w:left="720"/>
        <w:contextualSpacing/>
      </w:pPr>
    </w:p>
    <w:p>
      <w:pPr>
        <w:ind w:left="720"/>
        <w:contextualSpacing/>
      </w:pPr>
    </w:p>
    <w:p>
      <w:pPr>
        <w:ind w:left="720"/>
        <w:contextualSpacing/>
      </w:pPr>
    </w:p>
    <w:p>
      <w:pPr>
        <w:ind w:left="720"/>
        <w:contextualSpacing/>
      </w:pPr>
    </w:p>
    <w:p>
      <w:pPr>
        <w:ind w:left="709"/>
        <w:jc w:val="both"/>
        <w:rPr>
          <w:sz w:val="22"/>
          <w:szCs w:val="22"/>
        </w:rPr>
      </w:pPr>
    </w:p>
    <w:p>
      <w:pPr>
        <w:ind w:left="709"/>
        <w:jc w:val="both"/>
        <w:rPr>
          <w:sz w:val="22"/>
          <w:szCs w:val="22"/>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b/>
        </w:rPr>
      </w:pPr>
      <w:r>
        <w:rPr>
          <w:b/>
        </w:rPr>
        <w:t>Od tekućih poslova u  prvoj  polovici 2022. godine istaknuo bih:</w:t>
      </w:r>
    </w:p>
    <w:p>
      <w:pPr>
        <w:jc w:val="both"/>
      </w:pPr>
    </w:p>
    <w:p>
      <w:pPr>
        <w:jc w:val="both"/>
      </w:pPr>
    </w:p>
    <w:p>
      <w:pPr>
        <w:numPr>
          <w:ilvl w:val="0"/>
          <w:numId w:val="2"/>
        </w:numPr>
        <w:ind w:left="360"/>
        <w:rPr>
          <w:rFonts w:cs="Arial"/>
        </w:rPr>
      </w:pPr>
      <w:r>
        <w:rPr>
          <w:rFonts w:cs="Arial"/>
        </w:rPr>
        <w:t>Nastavili smo suradnju sa LAG-om Vuka-Dunav te uz financijsku potporu izgradili dječje igralište i fitness na otvorenom u prostoru Osnovne škole Mate Lovraka</w:t>
      </w:r>
    </w:p>
    <w:p>
      <w:pPr>
        <w:numPr>
          <w:ilvl w:val="0"/>
          <w:numId w:val="2"/>
        </w:numPr>
        <w:spacing w:before="100" w:beforeAutospacing="1" w:after="100" w:afterAutospacing="1"/>
        <w:ind w:left="426" w:hanging="426"/>
      </w:pPr>
      <w:r>
        <w:t>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pune. Općina Vladislavci je dobila ocjenu odličan i tako su potvrđene već ranije stečene visoke ocjene. Općina Vladislavci među manjim brojem Općina u Hrvatskoj koje su dobile ovakvo priznanje za transparentan rad.</w:t>
      </w:r>
    </w:p>
    <w:p>
      <w:pPr>
        <w:numPr>
          <w:ilvl w:val="0"/>
          <w:numId w:val="2"/>
        </w:numPr>
        <w:ind w:left="360"/>
        <w:rPr>
          <w:rFonts w:cs="Arial"/>
        </w:rPr>
      </w:pPr>
      <w:r>
        <w:t>Završili smo fazu projekta rekonstrukcije pješačkih staza u Vladislavcima u ulici Erne Kiša</w:t>
      </w:r>
    </w:p>
    <w:p>
      <w:pPr>
        <w:numPr>
          <w:ilvl w:val="0"/>
          <w:numId w:val="2"/>
        </w:numPr>
        <w:ind w:left="360"/>
        <w:rPr>
          <w:rFonts w:cs="Arial"/>
        </w:rPr>
      </w:pPr>
      <w:r>
        <w:t>Završili smo fazu projekta rekonstrukcije pješačkih staza u Hrastinu u ulici Kiš Ferenca</w:t>
      </w:r>
    </w:p>
    <w:p>
      <w:pPr>
        <w:numPr>
          <w:ilvl w:val="0"/>
          <w:numId w:val="2"/>
        </w:numPr>
        <w:ind w:left="360"/>
        <w:rPr>
          <w:rFonts w:cs="Arial"/>
        </w:rPr>
      </w:pPr>
      <w:r>
        <w:rPr>
          <w:rFonts w:cs="Arial"/>
        </w:rPr>
        <w:t>Prijavili smo se na natječaj Ministarstva regionalnog razvoja i fondova EU za izgradnju rasvjete između naselja Hrastin i Vladislavci</w:t>
      </w:r>
    </w:p>
    <w:p>
      <w:pPr>
        <w:numPr>
          <w:ilvl w:val="0"/>
          <w:numId w:val="2"/>
        </w:numPr>
        <w:ind w:left="360"/>
        <w:rPr>
          <w:rFonts w:cs="Arial"/>
        </w:rPr>
      </w:pPr>
      <w:r>
        <w:rPr>
          <w:rFonts w:cs="Arial"/>
        </w:rPr>
        <w:t>Prijavili smo se na novi natječaj Ministarstva rada za treću fazu projekta „Zaželi“</w:t>
      </w:r>
    </w:p>
    <w:p>
      <w:pPr>
        <w:numPr>
          <w:ilvl w:val="0"/>
          <w:numId w:val="2"/>
        </w:numPr>
        <w:ind w:left="360"/>
        <w:rPr>
          <w:rFonts w:cs="Arial"/>
        </w:rPr>
      </w:pPr>
      <w:r>
        <w:rPr>
          <w:rFonts w:cs="Arial"/>
        </w:rPr>
        <w:t>Proveli javne pozive i programa demografije i programa razvoja poljoprivrede,</w:t>
      </w:r>
    </w:p>
    <w:p>
      <w:pPr>
        <w:numPr>
          <w:ilvl w:val="0"/>
          <w:numId w:val="2"/>
        </w:numPr>
        <w:ind w:left="360"/>
        <w:rPr>
          <w:rFonts w:cs="Arial"/>
        </w:rPr>
      </w:pPr>
      <w:r>
        <w:t>Provodili smo aktivnost zimskog održavanja cesta te aktivnost deratizacije</w:t>
      </w:r>
    </w:p>
    <w:p>
      <w:pPr>
        <w:numPr>
          <w:ilvl w:val="0"/>
          <w:numId w:val="2"/>
        </w:numPr>
        <w:ind w:left="360"/>
        <w:rPr>
          <w:rFonts w:cs="Arial"/>
        </w:rPr>
      </w:pPr>
      <w:r>
        <w:rPr>
          <w:rFonts w:cs="Arial"/>
        </w:rPr>
        <w:t>Nastavili smo financirati troškove stomatološke ordinacije, troškove predškolske ustanove te troškove stanovanja socijalno ugroženih obitelji.</w:t>
      </w:r>
    </w:p>
    <w:p>
      <w:pPr>
        <w:numPr>
          <w:ilvl w:val="0"/>
          <w:numId w:val="2"/>
        </w:numPr>
        <w:ind w:left="360"/>
        <w:rPr>
          <w:rFonts w:cs="Arial"/>
        </w:rPr>
      </w:pPr>
      <w:r>
        <w:rPr>
          <w:rFonts w:cs="Arial"/>
        </w:rPr>
        <w:t>Programi zapošljavanja dugotrajno nezaposlenih žena iz programa ZAŽELI u sklopu kojega je zaposleno 30 žena odvijali su se prema planu i programu bez većih poteškoća</w:t>
      </w:r>
    </w:p>
    <w:p>
      <w:pPr>
        <w:numPr>
          <w:ilvl w:val="0"/>
          <w:numId w:val="2"/>
        </w:numPr>
        <w:ind w:left="360"/>
        <w:rPr>
          <w:rFonts w:cs="Arial"/>
        </w:rPr>
      </w:pPr>
      <w:r>
        <w:t xml:space="preserve">Sukladno programskim aktivnostima, vodi se briga o zdravlju starijih mještana. Osim programa javnih radova "Pomoć zajednici", provode se pregledi zdravlja uz pomoć Crvenog križa i uz pomoć raznih udruga za promicanje prevencije i zdravlja. </w:t>
      </w:r>
    </w:p>
    <w:p>
      <w:pPr>
        <w:numPr>
          <w:ilvl w:val="0"/>
          <w:numId w:val="2"/>
        </w:numPr>
        <w:ind w:left="360"/>
        <w:rPr>
          <w:rFonts w:cs="Arial"/>
        </w:rPr>
      </w:pPr>
      <w:r>
        <w:t>Nastavili smo sa provođenjem programa sufinanciranja studenata kroz isplatu stipendija te plaćanja studentskih i učeničkih autobusnih karata.</w:t>
      </w:r>
    </w:p>
    <w:p>
      <w:pPr>
        <w:numPr>
          <w:ilvl w:val="0"/>
          <w:numId w:val="2"/>
        </w:numPr>
        <w:ind w:left="360"/>
        <w:rPr>
          <w:rFonts w:cs="Arial"/>
        </w:rPr>
      </w:pPr>
      <w:r>
        <w:t xml:space="preserve">Umirovljenicima i starijim osobama od 65 godina smo isplatili </w:t>
      </w:r>
      <w:proofErr w:type="spellStart"/>
      <w:r>
        <w:t>Uskrsnice</w:t>
      </w:r>
      <w:proofErr w:type="spellEnd"/>
    </w:p>
    <w:p>
      <w:pPr>
        <w:numPr>
          <w:ilvl w:val="0"/>
          <w:numId w:val="2"/>
        </w:numPr>
        <w:ind w:left="360"/>
        <w:rPr>
          <w:rFonts w:cs="Arial"/>
        </w:rPr>
      </w:pPr>
      <w:r>
        <w:t>Prijavili smo se na natječaj Fonda za zaštitu okoliša i energetsku učinkovitost za postavljanje pametnih kamera i video nadzora javnih površina i objekata te nam je projekt odobren i potpisali smo ugovor o realizaciji projekta sa Fondom</w:t>
      </w:r>
    </w:p>
    <w:p>
      <w:pPr>
        <w:numPr>
          <w:ilvl w:val="0"/>
          <w:numId w:val="2"/>
        </w:numPr>
        <w:ind w:left="360"/>
        <w:rPr>
          <w:rFonts w:cs="Arial"/>
        </w:rPr>
      </w:pPr>
      <w:r>
        <w:t>Provodimo program financiranja školskih obroka za sve osnovnoškolce i djecu predškolskog programa.</w:t>
      </w:r>
    </w:p>
    <w:p>
      <w:pPr>
        <w:numPr>
          <w:ilvl w:val="0"/>
          <w:numId w:val="2"/>
        </w:numPr>
        <w:ind w:left="360"/>
        <w:rPr>
          <w:rFonts w:cs="Arial"/>
        </w:rPr>
      </w:pPr>
      <w:r>
        <w:t>Prevencijom zaštite od požara smo su u skladu sa zakonskim regulativama financirali rad dobrovoljnih vatrogasnih društava Vladislavci i Hrastin.</w:t>
      </w:r>
    </w:p>
    <w:p>
      <w:pPr>
        <w:numPr>
          <w:ilvl w:val="0"/>
          <w:numId w:val="2"/>
        </w:numPr>
        <w:ind w:left="360"/>
        <w:rPr>
          <w:rFonts w:cs="Arial"/>
        </w:rPr>
      </w:pPr>
      <w:r>
        <w:rPr>
          <w:rFonts w:cs="Arial"/>
        </w:rPr>
        <w:t>Pomagali smo u opskrbi stanovništva pitkom vodom</w:t>
      </w:r>
    </w:p>
    <w:p>
      <w:pPr>
        <w:numPr>
          <w:ilvl w:val="0"/>
          <w:numId w:val="2"/>
        </w:numPr>
        <w:ind w:left="360"/>
        <w:rPr>
          <w:rFonts w:cs="Arial"/>
        </w:rPr>
      </w:pPr>
      <w:r>
        <w:t>Sa ciljem unaprjeđenja nogometnog športa i poboljšanjem uvjeta za bavljenje športom osim opremanja objekata i nogometnih terena Općina Vladislavci je pomogla u radu nogometnih klubova</w:t>
      </w:r>
    </w:p>
    <w:p>
      <w:pPr>
        <w:numPr>
          <w:ilvl w:val="0"/>
          <w:numId w:val="2"/>
        </w:numPr>
        <w:ind w:left="360"/>
        <w:rPr>
          <w:rFonts w:cs="Arial"/>
        </w:rPr>
      </w:pPr>
      <w:r>
        <w:t>U suradnji sa Osnovnom školom Mate Lovraka smo organizirali sportsku aktivnost „</w:t>
      </w:r>
      <w:proofErr w:type="spellStart"/>
      <w:r>
        <w:t>Biciklijada</w:t>
      </w:r>
      <w:proofErr w:type="spellEnd"/>
      <w:r>
        <w:t xml:space="preserve"> prijateljstva“</w:t>
      </w:r>
    </w:p>
    <w:p>
      <w:pPr>
        <w:numPr>
          <w:ilvl w:val="0"/>
          <w:numId w:val="2"/>
        </w:numPr>
        <w:ind w:left="360"/>
        <w:rPr>
          <w:rFonts w:cs="Arial"/>
        </w:rPr>
      </w:pPr>
      <w:r>
        <w:rPr>
          <w:rFonts w:cs="Arial"/>
        </w:rPr>
        <w:t>Financirali smo rad udruga na području Općine Vladislavci su</w:t>
      </w:r>
      <w:r>
        <w:rPr>
          <w:rFonts w:cs="Arial"/>
          <w:bCs/>
        </w:rPr>
        <w:t>kladno financijskim sredstvima.</w:t>
      </w:r>
    </w:p>
    <w:p>
      <w:pPr>
        <w:numPr>
          <w:ilvl w:val="0"/>
          <w:numId w:val="2"/>
        </w:numPr>
        <w:ind w:left="360"/>
        <w:rPr>
          <w:rFonts w:cs="Arial"/>
        </w:rPr>
      </w:pPr>
      <w:r>
        <w:rPr>
          <w:rFonts w:cs="Arial"/>
          <w:bCs/>
        </w:rPr>
        <w:t>U svibnju smo obilježili Dan Općine sa raznim događajima i manifestacijama,</w:t>
      </w:r>
    </w:p>
    <w:p>
      <w:pPr>
        <w:numPr>
          <w:ilvl w:val="0"/>
          <w:numId w:val="2"/>
        </w:numPr>
        <w:ind w:left="360"/>
        <w:rPr>
          <w:rFonts w:cs="Arial"/>
        </w:rPr>
      </w:pPr>
      <w:r>
        <w:rPr>
          <w:rFonts w:cs="Arial"/>
        </w:rPr>
        <w:lastRenderedPageBreak/>
        <w:t>Mladima sufinanciramo polaganje vozačkog ispita</w:t>
      </w:r>
    </w:p>
    <w:p>
      <w:pPr>
        <w:numPr>
          <w:ilvl w:val="0"/>
          <w:numId w:val="2"/>
        </w:numPr>
        <w:ind w:left="360"/>
        <w:rPr>
          <w:rFonts w:cs="Arial"/>
        </w:rPr>
      </w:pPr>
      <w:r>
        <w:rPr>
          <w:rFonts w:cs="Arial"/>
        </w:rPr>
        <w:t xml:space="preserve">Pomažemo mlade obitelji </w:t>
      </w:r>
      <w:proofErr w:type="spellStart"/>
      <w:r>
        <w:rPr>
          <w:rFonts w:cs="Arial"/>
        </w:rPr>
        <w:t>sufinancirnajem</w:t>
      </w:r>
      <w:proofErr w:type="spellEnd"/>
      <w:r>
        <w:rPr>
          <w:rFonts w:cs="Arial"/>
        </w:rPr>
        <w:t xml:space="preserve"> vrtića djeci</w:t>
      </w:r>
    </w:p>
    <w:p>
      <w:pPr>
        <w:numPr>
          <w:ilvl w:val="0"/>
          <w:numId w:val="2"/>
        </w:numPr>
        <w:ind w:left="360"/>
        <w:rPr>
          <w:rFonts w:cs="Arial"/>
        </w:rPr>
      </w:pPr>
      <w:r>
        <w:rPr>
          <w:rFonts w:cs="Arial"/>
        </w:rPr>
        <w:t>Potpisali smo ugovore za projekte prekogranične suradnje sa partnerima (hrvatskim zajednicama) iz BIH i iz Srbije za prijavljena dva zajednička projekta na natječaj MRRFOEU,</w:t>
      </w:r>
    </w:p>
    <w:p>
      <w:pPr>
        <w:numPr>
          <w:ilvl w:val="0"/>
          <w:numId w:val="2"/>
        </w:numPr>
        <w:ind w:left="360"/>
        <w:rPr>
          <w:rFonts w:cs="Arial"/>
        </w:rPr>
      </w:pPr>
      <w:r>
        <w:rPr>
          <w:rFonts w:cs="Arial"/>
        </w:rPr>
        <w:t>Partneri smo u provedbi projekta „Zajedno u zajednici“ čiji je nositelj Gradsko društvo Crvenog križa Osijek,</w:t>
      </w:r>
    </w:p>
    <w:p>
      <w:pPr>
        <w:numPr>
          <w:ilvl w:val="0"/>
          <w:numId w:val="2"/>
        </w:numPr>
        <w:ind w:left="360"/>
        <w:rPr>
          <w:rFonts w:cs="Arial"/>
        </w:rPr>
      </w:pPr>
      <w:r>
        <w:rPr>
          <w:rFonts w:cs="Arial"/>
        </w:rPr>
        <w:t xml:space="preserve">Općina Vladislavci je početkom godine dobila bezuvjetno pozitivno mišljenje revizije temeljem obavljenog kompletnog revizijskog poslovanja Općine od strane državne revizije </w:t>
      </w:r>
    </w:p>
    <w:p>
      <w:pPr>
        <w:ind w:left="360"/>
        <w:jc w:val="both"/>
        <w:rPr>
          <w:rFonts w:cs="Arial"/>
        </w:rPr>
      </w:pPr>
    </w:p>
    <w:p>
      <w:pPr>
        <w:ind w:left="360"/>
        <w:jc w:val="both"/>
        <w:rPr>
          <w:rFonts w:cs="Arial"/>
        </w:rPr>
      </w:pPr>
    </w:p>
    <w:p>
      <w:pPr>
        <w:ind w:left="360"/>
        <w:jc w:val="both"/>
        <w:rPr>
          <w:rFonts w:cs="Arial"/>
          <w:bCs/>
        </w:rPr>
      </w:pPr>
    </w:p>
    <w:p>
      <w:pPr>
        <w:ind w:left="360"/>
        <w:jc w:val="both"/>
      </w:pPr>
    </w:p>
    <w:p>
      <w:pPr>
        <w:jc w:val="both"/>
      </w:pPr>
      <w:r>
        <w:t>Poslove odvoza komunalnog otpada obavljali su ovlašteni koncesionari, s kojima je ranije sklopljen ugovor. Poslovi su obavljani redovito bez zastoja, u skladu s mogućnostima proračuna. Od značajnijih ovlasti koje su općinskom načelniku dodijeljene Zakonom o lokalnoj i područnoj (regionalnoj) samoupravi, nisam se koristio niti jednom. U navedenom vremenskom roku sam sudjelovao na 167 radnih sastanaka sa inicijativom pokretanja projekata i razvoja naselja te u sklopu toga sam u više navrata bio u direktnom kontaktu sa nadležnim institucijama kao što su ministarstva, agencije, uredi i Osječko-baranjska županija. Jedinstveni upravni odjel savjesno je i uredno obavljao poslove u svojim zakonskim okvirima. Poduzimane su mjere za redovitu naplatu prihoda. Upravitelj Komunalnog pogona je Pročelnica Jedinstvenog upravnog odjela Gordana Pehar Kovačević koja je usmjeravala djelatnike Komunalnog pogona i brinula o redovitom i urednom obavljanju poslova. Poslovi komunalnog pogona sastojali su se od radova na održavanju javnih površina  i objekata u vlasništvu Općine. Uzevši u obzir sve navedeno i s obzirom na male prihode osobno sam zadovoljan sa svime što smo uspjeli napraviti u prvom polugodištu 2022. godine. Bez obzira na svakodnevne prepreke i poteškoće vjerujem da sa zajedničkim trudom i ciljem razvoja Općine Vladislavci možemo ostvariti puno više te da zajednički svakom mještaninu Općine Vladislavci možemo pomoći u poteškoćama.</w:t>
      </w:r>
    </w:p>
    <w:p>
      <w:pPr>
        <w:jc w:val="both"/>
      </w:pPr>
    </w:p>
    <w:p/>
    <w:p>
      <w:pPr>
        <w:jc w:val="both"/>
      </w:pPr>
    </w:p>
    <w:p>
      <w:pPr>
        <w:ind w:firstLine="6120"/>
        <w:jc w:val="center"/>
        <w:rPr>
          <w:b/>
        </w:rPr>
      </w:pPr>
      <w:r>
        <w:rPr>
          <w:b/>
        </w:rPr>
        <w:t>Općinski načelnik</w:t>
      </w:r>
    </w:p>
    <w:p>
      <w:pPr>
        <w:ind w:firstLine="6120"/>
        <w:jc w:val="center"/>
      </w:pPr>
      <w:r>
        <w:t>Marjan Tomas</w:t>
      </w:r>
    </w:p>
    <w:p>
      <w:pPr>
        <w:jc w:val="right"/>
      </w:pPr>
    </w:p>
    <w:p>
      <w:pPr>
        <w:jc w:val="both"/>
        <w:rPr>
          <w:b/>
          <w:color w:val="FF0000"/>
        </w:rPr>
      </w:pPr>
    </w:p>
    <w:p/>
    <w:p/>
    <w:p/>
    <w:p/>
    <w:p/>
    <w:p/>
    <w:p/>
    <w:p/>
    <w:p/>
    <w:p/>
    <w:p/>
    <w:p/>
    <w:p/>
    <w:p/>
    <w:p/>
    <w:p/>
    <w:p/>
    <w:p/>
    <w:p/>
    <w:sectPr>
      <w:headerReference w:type="default" r:id="rId10"/>
      <w:footerReference w:type="even" r:id="rId11"/>
      <w:footerReference w:type="default" r:id="rId12"/>
      <w:headerReference w:type="first" r:id="rId13"/>
      <w:pgSz w:w="11906" w:h="16838"/>
      <w:pgMar w:top="426"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CFC5208"/>
    <w:multiLevelType w:val="hybridMultilevel"/>
    <w:tmpl w:val="8EA4A65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58B1"/>
    <w:multiLevelType w:val="hybridMultilevel"/>
    <w:tmpl w:val="6004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671A8"/>
    <w:multiLevelType w:val="hybridMultilevel"/>
    <w:tmpl w:val="F9FCBEC4"/>
    <w:lvl w:ilvl="0" w:tplc="A074181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240D2D24"/>
    <w:multiLevelType w:val="hybridMultilevel"/>
    <w:tmpl w:val="D4DEED0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56095E"/>
    <w:multiLevelType w:val="hybridMultilevel"/>
    <w:tmpl w:val="368AAE12"/>
    <w:lvl w:ilvl="0" w:tplc="041A000F">
      <w:start w:val="1"/>
      <w:numFmt w:val="decimal"/>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6575147E"/>
    <w:multiLevelType w:val="hybridMultilevel"/>
    <w:tmpl w:val="CE94B0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16cid:durableId="1687515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471684">
    <w:abstractNumId w:val="6"/>
  </w:num>
  <w:num w:numId="3" w16cid:durableId="483159895">
    <w:abstractNumId w:val="8"/>
  </w:num>
  <w:num w:numId="4" w16cid:durableId="684983745">
    <w:abstractNumId w:val="2"/>
  </w:num>
  <w:num w:numId="5" w16cid:durableId="646126360">
    <w:abstractNumId w:val="9"/>
  </w:num>
  <w:num w:numId="6" w16cid:durableId="1806703162">
    <w:abstractNumId w:val="5"/>
  </w:num>
  <w:num w:numId="7" w16cid:durableId="1078475038">
    <w:abstractNumId w:val="4"/>
  </w:num>
  <w:num w:numId="8" w16cid:durableId="1187601186">
    <w:abstractNumId w:val="7"/>
  </w:num>
  <w:num w:numId="9" w16cid:durableId="2146847136">
    <w:abstractNumId w:val="3"/>
  </w:num>
  <w:num w:numId="10" w16cid:durableId="1059091136">
    <w:abstractNumId w:val="10"/>
  </w:num>
  <w:num w:numId="11" w16cid:durableId="933788096">
    <w:abstractNumId w:val="0"/>
  </w:num>
  <w:num w:numId="12" w16cid:durableId="1769350568">
    <w:abstractNumId w:val="1"/>
  </w:num>
  <w:num w:numId="13" w16cid:durableId="1779982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709CFD-187D-4E9D-8D81-150B9D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536"/>
        <w:tab w:val="right" w:pos="9072"/>
      </w:tabs>
    </w:pPr>
  </w:style>
  <w:style w:type="character" w:customStyle="1" w:styleId="ZaglavljeChar">
    <w:name w:val="Zaglavlje Char"/>
    <w:basedOn w:val="Zadanifontodlomka"/>
    <w:link w:val="Zaglavlje"/>
    <w:uiPriority w:val="99"/>
    <w:semiHidden/>
    <w:locked/>
    <w:rPr>
      <w:rFonts w:cs="Times New Roman"/>
      <w:sz w:val="24"/>
      <w:szCs w:val="24"/>
    </w:rPr>
  </w:style>
  <w:style w:type="paragraph" w:styleId="Podnoje">
    <w:name w:val="footer"/>
    <w:basedOn w:val="Normal"/>
    <w:link w:val="PodnojeChar"/>
    <w:uiPriority w:val="99"/>
    <w:pPr>
      <w:tabs>
        <w:tab w:val="center" w:pos="4536"/>
        <w:tab w:val="right" w:pos="9072"/>
      </w:tabs>
    </w:pPr>
  </w:style>
  <w:style w:type="character" w:customStyle="1" w:styleId="PodnojeChar">
    <w:name w:val="Podnožje Char"/>
    <w:basedOn w:val="Zadanifontodlomka"/>
    <w:link w:val="Podnoje"/>
    <w:uiPriority w:val="99"/>
    <w:semiHidden/>
    <w:locked/>
    <w:rPr>
      <w:rFonts w:cs="Times New Roman"/>
      <w:sz w:val="24"/>
      <w:szCs w:val="24"/>
    </w:rPr>
  </w:style>
  <w:style w:type="character" w:customStyle="1" w:styleId="usercontent">
    <w:name w:val="usercontent"/>
    <w:uiPriority w:val="99"/>
  </w:style>
  <w:style w:type="character" w:styleId="Hiperveza">
    <w:name w:val="Hyperlink"/>
    <w:basedOn w:val="Zadanifontodlomka"/>
    <w:uiPriority w:val="99"/>
    <w:rPr>
      <w:rFonts w:cs="Times New Roman"/>
      <w:color w:val="0000FF"/>
      <w:u w:val="single"/>
    </w:rPr>
  </w:style>
  <w:style w:type="character" w:styleId="Brojstranice">
    <w:name w:val="page number"/>
    <w:basedOn w:val="Zadanifontodlomka"/>
    <w:uiPriority w:val="99"/>
    <w:rPr>
      <w:rFonts w:cs="Times New Roman"/>
    </w:rPr>
  </w:style>
  <w:style w:type="paragraph" w:styleId="StandardWeb">
    <w:name w:val="Normal (Web)"/>
    <w:basedOn w:val="Normal"/>
    <w:uiPriority w:val="99"/>
    <w:pPr>
      <w:spacing w:before="100" w:beforeAutospacing="1" w:after="100" w:afterAutospacing="1"/>
    </w:pPr>
  </w:style>
  <w:style w:type="character" w:customStyle="1" w:styleId="textexposedshow">
    <w:name w:val="text_exposed_show"/>
    <w:basedOn w:val="Zadanifontodlomka"/>
    <w:uiPriority w:val="99"/>
    <w:rPr>
      <w:rFonts w:cs="Times New Roman"/>
    </w:rPr>
  </w:style>
  <w:style w:type="paragraph" w:styleId="Odlomakpopisa">
    <w:name w:val="List Paragraph"/>
    <w:basedOn w:val="Normal"/>
    <w:uiPriority w:val="34"/>
    <w:qFormat/>
    <w:pPr>
      <w:ind w:left="720"/>
      <w:contextualSpacing/>
    </w:pPr>
  </w:style>
  <w:style w:type="paragraph" w:styleId="Tijeloteksta">
    <w:name w:val="Body Text"/>
    <w:basedOn w:val="Normal"/>
    <w:link w:val="TijelotekstaChar"/>
    <w:semiHidden/>
    <w:unhideWhenUsed/>
    <w:pPr>
      <w:jc w:val="both"/>
    </w:pPr>
    <w:rPr>
      <w:rFonts w:ascii="Arial" w:hAnsi="Arial"/>
      <w:lang w:eastAsia="en-US"/>
    </w:rPr>
  </w:style>
  <w:style w:type="character" w:customStyle="1" w:styleId="TijelotekstaChar">
    <w:name w:val="Tijelo teksta Char"/>
    <w:basedOn w:val="Zadanifontodlomka"/>
    <w:link w:val="Tijeloteksta"/>
    <w:semiHidden/>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7248">
      <w:bodyDiv w:val="1"/>
      <w:marLeft w:val="0"/>
      <w:marRight w:val="0"/>
      <w:marTop w:val="0"/>
      <w:marBottom w:val="0"/>
      <w:divBdr>
        <w:top w:val="none" w:sz="0" w:space="0" w:color="auto"/>
        <w:left w:val="none" w:sz="0" w:space="0" w:color="auto"/>
        <w:bottom w:val="none" w:sz="0" w:space="0" w:color="auto"/>
        <w:right w:val="none" w:sz="0" w:space="0" w:color="auto"/>
      </w:divBdr>
    </w:div>
    <w:div w:id="1525704142">
      <w:marLeft w:val="0"/>
      <w:marRight w:val="0"/>
      <w:marTop w:val="0"/>
      <w:marBottom w:val="0"/>
      <w:divBdr>
        <w:top w:val="none" w:sz="0" w:space="0" w:color="auto"/>
        <w:left w:val="none" w:sz="0" w:space="0" w:color="auto"/>
        <w:bottom w:val="none" w:sz="0" w:space="0" w:color="auto"/>
        <w:right w:val="none" w:sz="0" w:space="0" w:color="auto"/>
      </w:divBdr>
    </w:div>
    <w:div w:id="1525704143">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 w:id="1563519967">
      <w:bodyDiv w:val="1"/>
      <w:marLeft w:val="0"/>
      <w:marRight w:val="0"/>
      <w:marTop w:val="0"/>
      <w:marBottom w:val="0"/>
      <w:divBdr>
        <w:top w:val="none" w:sz="0" w:space="0" w:color="auto"/>
        <w:left w:val="none" w:sz="0" w:space="0" w:color="auto"/>
        <w:bottom w:val="none" w:sz="0" w:space="0" w:color="auto"/>
        <w:right w:val="none" w:sz="0" w:space="0" w:color="auto"/>
      </w:divBdr>
    </w:div>
    <w:div w:id="1831478732">
      <w:bodyDiv w:val="1"/>
      <w:marLeft w:val="0"/>
      <w:marRight w:val="0"/>
      <w:marTop w:val="0"/>
      <w:marBottom w:val="0"/>
      <w:divBdr>
        <w:top w:val="none" w:sz="0" w:space="0" w:color="auto"/>
        <w:left w:val="none" w:sz="0" w:space="0" w:color="auto"/>
        <w:bottom w:val="none" w:sz="0" w:space="0" w:color="auto"/>
        <w:right w:val="none" w:sz="0" w:space="0" w:color="auto"/>
      </w:divBdr>
    </w:div>
    <w:div w:id="2141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A80A-E5BD-46B9-821B-433653C3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1608</Words>
  <Characters>9171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Opcina Vladislavci</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cp:lastModifiedBy>OpcinaPCY</cp:lastModifiedBy>
  <cp:revision>6</cp:revision>
  <cp:lastPrinted>2022-09-22T09:46:00Z</cp:lastPrinted>
  <dcterms:created xsi:type="dcterms:W3CDTF">2022-09-10T07:25:00Z</dcterms:created>
  <dcterms:modified xsi:type="dcterms:W3CDTF">2022-09-22T11:51:00Z</dcterms:modified>
</cp:coreProperties>
</file>