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Na temelju članka 49. stavak 4. Zakona o poljoprivrednom zemljištu („Narodne novine“ br. 20/18, 115/18, 98/19 i 57/22)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i članka 30. Statuta Općine Vladislavci („Službeni glasnik“ Općine Vladislavci br. 3/13, 3/17, 2/18, 4/20,  8/20 i 2/21) </w:t>
      </w:r>
      <w:r>
        <w:rPr>
          <w:rFonts w:ascii="Times New Roman" w:hAnsi="Times New Roman"/>
        </w:rPr>
        <w:t xml:space="preserve"> Općinsko vijeće Općine Vladislavci na svojoj </w:t>
      </w:r>
      <w:r>
        <w:rPr>
          <w:rFonts w:ascii="Times New Roman" w:hAnsi="Times New Roman"/>
          <w:lang w:val="hr-HR"/>
        </w:rPr>
        <w:t xml:space="preserve">20. </w:t>
      </w:r>
      <w:r>
        <w:rPr>
          <w:rFonts w:ascii="Times New Roman" w:hAnsi="Times New Roman"/>
        </w:rPr>
        <w:t xml:space="preserve"> sjednici održanoj </w:t>
      </w:r>
      <w:r>
        <w:rPr>
          <w:rFonts w:ascii="Times New Roman" w:hAnsi="Times New Roman"/>
          <w:lang w:val="hr-HR"/>
        </w:rPr>
        <w:t>24. listopada 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</w:rPr>
        <w:t xml:space="preserve">. godine donosi 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 izmjenama </w:t>
      </w:r>
      <w:bookmarkStart w:id="0" w:name="_Hlk106701241"/>
      <w:r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</w:rPr>
        <w:t xml:space="preserve">korištenja sredstava od </w:t>
      </w:r>
      <w:r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2022. godinu</w:t>
      </w:r>
      <w:bookmarkEnd w:id="0"/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</w:rPr>
        <w:t xml:space="preserve">Program korištenja sredstava od raspolaganja poljoprivrednim zemljištem u vlasništvu države na području Općine Vladislavci za 2022. </w:t>
      </w:r>
      <w:r>
        <w:rPr>
          <w:rFonts w:ascii="Times New Roman" w:hAnsi="Times New Roman"/>
          <w:bCs/>
          <w:lang w:val="hr-HR"/>
        </w:rPr>
        <w:t>g</w:t>
      </w:r>
      <w:r>
        <w:rPr>
          <w:rFonts w:ascii="Times New Roman" w:hAnsi="Times New Roman"/>
          <w:bCs/>
        </w:rPr>
        <w:t>odinu</w:t>
      </w:r>
      <w:r>
        <w:rPr>
          <w:rFonts w:ascii="Times New Roman" w:hAnsi="Times New Roman"/>
          <w:bCs/>
          <w:lang w:val="hr-HR"/>
        </w:rPr>
        <w:t xml:space="preserve"> („Službeni glasnik“ Općine Vladislavci broj 16/21 i 2/22) mijenja se prema odredbama ove Odluke. 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Točka III. </w:t>
      </w:r>
      <w:r>
        <w:rPr>
          <w:rFonts w:ascii="Times New Roman" w:hAnsi="Times New Roman"/>
          <w:bCs/>
        </w:rPr>
        <w:t>Program</w:t>
      </w:r>
      <w:r>
        <w:rPr>
          <w:rFonts w:ascii="Times New Roman" w:hAnsi="Times New Roman"/>
          <w:bCs/>
          <w:lang w:val="hr-HR"/>
        </w:rPr>
        <w:t>a</w:t>
      </w:r>
      <w:r>
        <w:rPr>
          <w:rFonts w:ascii="Times New Roman" w:hAnsi="Times New Roman"/>
          <w:bCs/>
        </w:rPr>
        <w:t xml:space="preserve"> korištenja sredstava od raspolaganja poljoprivrednim zemljištem u vlasništvu države na području Općine Vladislavci za 2022. </w:t>
      </w:r>
      <w:r>
        <w:rPr>
          <w:rFonts w:ascii="Times New Roman" w:hAnsi="Times New Roman"/>
          <w:bCs/>
          <w:lang w:val="hr-HR"/>
        </w:rPr>
        <w:t>g</w:t>
      </w:r>
      <w:r>
        <w:rPr>
          <w:rFonts w:ascii="Times New Roman" w:hAnsi="Times New Roman"/>
          <w:bCs/>
        </w:rPr>
        <w:t>odinu</w:t>
      </w:r>
      <w:r>
        <w:rPr>
          <w:rFonts w:ascii="Times New Roman" w:hAnsi="Times New Roman"/>
          <w:bCs/>
          <w:lang w:val="hr-HR"/>
        </w:rPr>
        <w:t xml:space="preserve"> („Službeni glasnik“ Općine Vladislavci broj 16/21 i 6/22) mijenja se i sada glasi: 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>„Ukupni prihod iz točke II. ovog programa raspoređuje se na slijedeće rashode</w:t>
      </w:r>
      <w:r>
        <w:rPr>
          <w:rFonts w:ascii="Times New Roman" w:hAnsi="Times New Roman"/>
        </w:rPr>
        <w:t>:</w:t>
      </w:r>
    </w:p>
    <w:p>
      <w:pPr>
        <w:pStyle w:val="Tijeloteksta"/>
        <w:rPr>
          <w:rFonts w:ascii="Times New Roman" w:hAnsi="Times New Roman"/>
          <w:lang w:val="hr-HR"/>
        </w:rPr>
      </w:pPr>
    </w:p>
    <w:tbl>
      <w:tblPr>
        <w:tblW w:w="107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762"/>
        <w:gridCol w:w="2170"/>
        <w:gridCol w:w="6"/>
        <w:gridCol w:w="1933"/>
        <w:gridCol w:w="6"/>
        <w:gridCol w:w="1933"/>
        <w:gridCol w:w="6"/>
      </w:tblGrid>
      <w:tr>
        <w:trPr>
          <w:gridAfter w:val="1"/>
          <w:wAfter w:w="6" w:type="dxa"/>
        </w:trPr>
        <w:tc>
          <w:tcPr>
            <w:tcW w:w="917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762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2170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  <w:tc>
          <w:tcPr>
            <w:tcW w:w="1939" w:type="dxa"/>
            <w:gridSpan w:val="2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939" w:type="dxa"/>
            <w:gridSpan w:val="2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U KUNAMA </w:t>
            </w:r>
          </w:p>
        </w:tc>
      </w:tr>
      <w:tr>
        <w:tc>
          <w:tcPr>
            <w:tcW w:w="917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5938" w:type="dxa"/>
            <w:gridSpan w:val="3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53.200,00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+4.800,00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58.000,00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49.512,50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49.512,50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38.640,00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-4.800,00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33.840,00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Trošak snimanja javnog otvaranja ponuda za zakup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00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62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I.</w:t>
            </w:r>
          </w:p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17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156.852,50</w:t>
            </w:r>
          </w:p>
        </w:tc>
        <w:tc>
          <w:tcPr>
            <w:tcW w:w="1939" w:type="dxa"/>
            <w:gridSpan w:val="2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156.852,50</w:t>
            </w:r>
          </w:p>
        </w:tc>
      </w:tr>
      <w:tr>
        <w:tc>
          <w:tcPr>
            <w:tcW w:w="917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5938" w:type="dxa"/>
            <w:gridSpan w:val="3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PROGRAMI SUFINANCIRANJA – PROGRAM POTPORA U POLJOPRIVREDI</w:t>
            </w: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eastAsia="Calibri" w:hAnsi="Times New Roman"/>
                <w:lang w:val="hr-HR"/>
              </w:rPr>
              <w:t>Mjera 1: Potpore za umjetno osjemenjivanje goveda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eastAsia="Calibri" w:hAnsi="Times New Roman"/>
                <w:lang w:val="hr-HR"/>
              </w:rPr>
              <w:t>Mjera 2:  Potpora za prijavu dokumentacije za nacionalne i međunarodne fondove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1" w:name="_Hlk488344811"/>
            <w:r>
              <w:rPr>
                <w:rFonts w:ascii="Times New Roman" w:eastAsia="Calibri" w:hAnsi="Times New Roman"/>
                <w:lang w:val="hr-HR"/>
              </w:rPr>
              <w:t xml:space="preserve">Mjera 3: </w:t>
            </w:r>
            <w:bookmarkEnd w:id="1"/>
            <w:r>
              <w:rPr>
                <w:rFonts w:ascii="Times New Roman" w:eastAsia="Calibri" w:hAnsi="Times New Roman"/>
                <w:lang w:val="hr-HR"/>
              </w:rPr>
              <w:t xml:space="preserve">Potpore za izgradnju plastenika/staklenika 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eastAsia="Calibri" w:hAnsi="Times New Roman"/>
                <w:lang w:val="hr-HR"/>
              </w:rPr>
              <w:t>Mjera 4: Potpore za edukaciju poljoprivrednika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Mjera 5: Potpore za proizvodnju meda</w:t>
            </w:r>
          </w:p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762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2170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  <w:tc>
          <w:tcPr>
            <w:tcW w:w="1939" w:type="dxa"/>
            <w:gridSpan w:val="2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939" w:type="dxa"/>
            <w:gridSpan w:val="2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U KUNAMA 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 w:eastAsia="hr-HR"/>
              </w:rPr>
              <w:t xml:space="preserve">Mjera 6. Potpore za navodnjavanje 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Financiranje sudjelovanja na sajmovima obiteljskim poljoprivrednim gospodarstvima s područja općine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62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2170" w:type="dxa"/>
            <w:shd w:val="clear" w:color="auto" w:fill="FFFF00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46.000,00</w:t>
            </w:r>
          </w:p>
        </w:tc>
        <w:tc>
          <w:tcPr>
            <w:tcW w:w="1939" w:type="dxa"/>
            <w:gridSpan w:val="2"/>
            <w:shd w:val="clear" w:color="auto" w:fill="FFFF00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00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46.000,00</w:t>
            </w:r>
          </w:p>
        </w:tc>
      </w:tr>
      <w:tr>
        <w:tc>
          <w:tcPr>
            <w:tcW w:w="917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III. </w:t>
            </w:r>
          </w:p>
        </w:tc>
        <w:tc>
          <w:tcPr>
            <w:tcW w:w="5938" w:type="dxa"/>
            <w:gridSpan w:val="3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 I IZRADE PROGRAMA I PROJEKATA ZA PROVEDBU MJERA IZ PROGRAMA RURALNOG RAZVOJA </w:t>
            </w: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64.125,00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64.125,00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pješačkih staza u Vladislavcima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150.780,00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150.780,00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Nabava električnog vozila za potrebe komunalnog i poljoprivrednog redara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Rekonstrukcija ceste poljoprivredne namjene na k.č.br. 182 i 155, k.o. Dopsin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nerazvrstane ceste u Vladislavcima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</w:pPr>
            <w:r>
              <w:rPr>
                <w:rFonts w:ascii="Times New Roman" w:hAnsi="Times New Roman"/>
                <w:lang w:val="hr-HR"/>
              </w:rPr>
              <w:t>-30.000,00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garaže za kombi vozilo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33.887,00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33.887,00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Dezinsekcija komaraca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66.799,89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66.799,89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Upravljanje reciklažnim dvorištem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117.000,00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-37.000,00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pješačkih staza između naselja Vladislavci-Dopsin i Vladislavci-Hrastin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javne rasvjete Vladislavci-Kudeljara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131.000,00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+37.000,00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168.000,00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površina i groblja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62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17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598.591,89</w:t>
            </w:r>
          </w:p>
        </w:tc>
        <w:tc>
          <w:tcPr>
            <w:tcW w:w="1939" w:type="dxa"/>
            <w:gridSpan w:val="2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598.591,89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4679" w:type="dxa"/>
            <w:gridSpan w:val="2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</w:tc>
        <w:tc>
          <w:tcPr>
            <w:tcW w:w="2170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801.444,39</w:t>
            </w: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801.444,39</w:t>
            </w:r>
          </w:p>
        </w:tc>
      </w:tr>
    </w:tbl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>
      <w:pPr>
        <w:pStyle w:val="Tijeloteksta"/>
        <w:rPr>
          <w:rFonts w:ascii="Times New Roman" w:hAnsi="Times New Roman"/>
          <w:color w:val="000000"/>
          <w:lang w:val="hr-HR"/>
        </w:rPr>
      </w:pPr>
    </w:p>
    <w:p>
      <w:pPr>
        <w:pStyle w:val="Tijeloteksta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color w:val="000000"/>
          <w:lang w:val="hr-HR"/>
        </w:rPr>
        <w:t>Ova Odluka stupa na snagu osmog dana od dana objave u  „Službenom glasniku“ Općine Vladislavci.</w:t>
      </w:r>
    </w:p>
    <w:p>
      <w:pPr>
        <w:pStyle w:val="Tijeloteksta"/>
        <w:rPr>
          <w:rFonts w:ascii="Times New Roman" w:hAnsi="Times New Roman"/>
          <w:color w:val="FF0000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bookmarkStart w:id="2" w:name="_Hlk58500732"/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320-02/21-01/10</w:t>
      </w:r>
    </w:p>
    <w:bookmarkEnd w:id="2"/>
    <w:p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UR.BROJ: 2158-41-01-22-06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val="sv-SE"/>
        </w:rPr>
        <w:t xml:space="preserve">Vladislavci, 24. listopada 2022.                                                        </w:t>
      </w: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</w:p>
    <w:sectPr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5FCE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2F49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65671">
    <w:abstractNumId w:val="14"/>
  </w:num>
  <w:num w:numId="2" w16cid:durableId="1916553084">
    <w:abstractNumId w:val="17"/>
  </w:num>
  <w:num w:numId="3" w16cid:durableId="1389954983">
    <w:abstractNumId w:val="20"/>
  </w:num>
  <w:num w:numId="4" w16cid:durableId="508064433">
    <w:abstractNumId w:val="13"/>
  </w:num>
  <w:num w:numId="5" w16cid:durableId="1582904606">
    <w:abstractNumId w:val="9"/>
  </w:num>
  <w:num w:numId="6" w16cid:durableId="25521321">
    <w:abstractNumId w:val="7"/>
  </w:num>
  <w:num w:numId="7" w16cid:durableId="10954426">
    <w:abstractNumId w:val="6"/>
  </w:num>
  <w:num w:numId="8" w16cid:durableId="1815247241">
    <w:abstractNumId w:val="5"/>
  </w:num>
  <w:num w:numId="9" w16cid:durableId="809321820">
    <w:abstractNumId w:val="4"/>
  </w:num>
  <w:num w:numId="10" w16cid:durableId="1815441552">
    <w:abstractNumId w:val="8"/>
  </w:num>
  <w:num w:numId="11" w16cid:durableId="76100494">
    <w:abstractNumId w:val="3"/>
  </w:num>
  <w:num w:numId="12" w16cid:durableId="1861315363">
    <w:abstractNumId w:val="2"/>
  </w:num>
  <w:num w:numId="13" w16cid:durableId="764502089">
    <w:abstractNumId w:val="1"/>
  </w:num>
  <w:num w:numId="14" w16cid:durableId="1828353120">
    <w:abstractNumId w:val="0"/>
  </w:num>
  <w:num w:numId="15" w16cid:durableId="315689759">
    <w:abstractNumId w:val="19"/>
  </w:num>
  <w:num w:numId="16" w16cid:durableId="1161433958">
    <w:abstractNumId w:val="16"/>
  </w:num>
  <w:num w:numId="17" w16cid:durableId="134757161">
    <w:abstractNumId w:val="10"/>
  </w:num>
  <w:num w:numId="18" w16cid:durableId="522323940">
    <w:abstractNumId w:val="11"/>
  </w:num>
  <w:num w:numId="19" w16cid:durableId="295183713">
    <w:abstractNumId w:val="18"/>
  </w:num>
  <w:num w:numId="20" w16cid:durableId="634719279">
    <w:abstractNumId w:val="15"/>
  </w:num>
  <w:num w:numId="21" w16cid:durableId="13796228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30</cp:revision>
  <cp:lastPrinted>2022-10-21T08:41:00Z</cp:lastPrinted>
  <dcterms:created xsi:type="dcterms:W3CDTF">2019-12-13T10:30:00Z</dcterms:created>
  <dcterms:modified xsi:type="dcterms:W3CDTF">2022-10-25T06:41:00Z</dcterms:modified>
</cp:coreProperties>
</file>