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  <w:lang w:val="hr-HR"/>
        </w:rPr>
        <w:t>67. stavak 1. 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>
        <w:rPr>
          <w:rFonts w:ascii="Times New Roman" w:hAnsi="Times New Roman"/>
          <w:lang w:val="hr-HR"/>
        </w:rPr>
        <w:t xml:space="preserve">68/18, 110/18 i 32/20) </w:t>
      </w:r>
      <w:r>
        <w:rPr>
          <w:rFonts w:ascii="Times New Roman" w:hAnsi="Times New Roman"/>
        </w:rPr>
        <w:t xml:space="preserve">te članka 30. </w:t>
      </w:r>
      <w:r>
        <w:rPr>
          <w:rFonts w:ascii="Times New Roman" w:hAnsi="Times New Roman"/>
          <w:lang w:val="hr-HR"/>
        </w:rPr>
        <w:t>Statuta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8/20 i  2/21</w:t>
      </w:r>
      <w:r>
        <w:rPr>
          <w:rFonts w:ascii="Times New Roman" w:hAnsi="Times New Roman"/>
        </w:rPr>
        <w:t xml:space="preserve">) Općinsko vijeće Općine Vladislavci na svojoj </w:t>
      </w:r>
      <w:r>
        <w:rPr>
          <w:rFonts w:ascii="Times New Roman" w:hAnsi="Times New Roman"/>
          <w:lang w:val="hr-HR"/>
        </w:rPr>
        <w:t xml:space="preserve">20.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24. listopada 2022.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 izmjenama Programa građenja komunalne infrastrukture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na području Općine Vladislavci u 2022. godini</w:t>
      </w:r>
    </w:p>
    <w:p>
      <w:pPr>
        <w:pStyle w:val="Tijeloteksta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građenja komunalne infrastrukture na području Općine Vladislavci u 2022. godini („Službeni glasnik“ broj 16/21 i 6/22) mijenja se prema odredbama ove Odluke. </w:t>
      </w:r>
    </w:p>
    <w:p>
      <w:pPr>
        <w:pStyle w:val="Tijeloteksta"/>
        <w:rPr>
          <w:rFonts w:ascii="Times New Roman" w:hAnsi="Times New Roman"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2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2. Program građenja komunalne infrastrukture na području Općine Vladislavci u 2022. godini („Službeni glasnik“ broj 16/21 i 6/22) mijenja se i sada glasi: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„U tijeku 2022. godine planiraju se graditi </w:t>
      </w:r>
      <w:r>
        <w:rPr>
          <w:color w:val="231F20"/>
        </w:rPr>
        <w:t xml:space="preserve">građevine komunalne infrastrukture koje će se graditi u uređenim dijelovima građevinskog područja naselja na području Općine Vladislavci: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30"/>
        <w:gridCol w:w="1696"/>
        <w:gridCol w:w="1543"/>
        <w:gridCol w:w="1613"/>
        <w:gridCol w:w="1543"/>
      </w:tblGrid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0" w:name="_Hlk106865694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1" w:name="_Hlk90465736"/>
            <w:bookmarkEnd w:id="0"/>
            <w:r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Vladislavci-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472.500,00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22.500,00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330.750,00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-38.750,00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292.000,00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+6.372,71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8.372,71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137.750,00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+34.377,29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172.127,29</w:t>
            </w:r>
          </w:p>
        </w:tc>
      </w:tr>
      <w:bookmarkEnd w:id="1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Kudeljara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- Hrastin 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337.837,82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326.337,82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javne rasvjete  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11.500,00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87.837,82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-87.837,82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+87.837,82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87.837,82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pristupni put-cestu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106877360"/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2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46.687,50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3.312,50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0926"/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–šumski doprinos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</w:tr>
      <w:bookmarkEnd w:id="3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5. 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105.000,00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1.188.217,03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90465303"/>
            <w:r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Nabava i ugradnja dječjeg igrališta sa anti stres podlogom  u naselju 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85.000,00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90.000,00</w:t>
            </w:r>
          </w:p>
        </w:tc>
      </w:tr>
      <w:bookmarkEnd w:id="4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Postavljanje fitness sprava na otvorenom u Dopsinu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252.106,25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262.106,25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fitness sprava na otvorenom u naselju Dopsin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252.106,25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postavljanje fitness sprava na otvorenom u Dopsinu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3" w:type="dxa"/>
          </w:tcPr>
          <w:p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izvori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102.106,25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112.106,25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trga u središtu naselja Dopsin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315.000,00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trga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</w:tr>
      <w:tr>
        <w:tc>
          <w:tcPr>
            <w:tcW w:w="843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30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96" w:type="dxa"/>
            <w:shd w:val="clear" w:color="auto" w:fill="FFFFFF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  <w:tc>
          <w:tcPr>
            <w:tcW w:w="161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FFFFFF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15.000,00</w:t>
            </w:r>
          </w:p>
        </w:tc>
      </w:tr>
      <w:tr>
        <w:tc>
          <w:tcPr>
            <w:tcW w:w="8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630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EU prijenosa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315.000,00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249.925,38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i postavljanje uređaja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249.925,38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249.925,38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10.1.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199.940,30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29.985,08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1.206.250,00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1.206.250,00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Izrada projektne dokumentacije za izgradnju biciklističke staze na području Općina Čepin,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Vladislavci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1.206.250,00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1.206.250,00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1.040.625,00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1.040.625,00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7.718,78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7.718,78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11.3.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Čepin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Punitovci</w:t>
            </w:r>
            <w:proofErr w:type="spellEnd"/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157.717,03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157.717,03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između naselja Vladislavci-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  <w:r>
              <w:rPr>
                <w:rFonts w:ascii="Times New Roman" w:hAnsi="Times New Roman"/>
                <w:b/>
                <w:bCs/>
                <w:lang w:val="hr-HR"/>
              </w:rPr>
              <w:t xml:space="preserve"> i Vladislavci-Hrastin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3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pješačke staze između naselja Vladislavci-Dopsin i Vladislavci-Hrastin</w:t>
            </w:r>
          </w:p>
        </w:tc>
        <w:tc>
          <w:tcPr>
            <w:tcW w:w="1696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5" w:name="_Hlk106875509"/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bookmarkEnd w:id="5"/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12.2.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-45.000,00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13.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-60.000,00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grobnica na mjesnom groblju u Vladislavcima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3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13.1.</w:t>
            </w:r>
          </w:p>
        </w:tc>
        <w:tc>
          <w:tcPr>
            <w:tcW w:w="363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96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61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-60.000,00</w:t>
            </w:r>
          </w:p>
        </w:tc>
        <w:tc>
          <w:tcPr>
            <w:tcW w:w="1543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30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>
              <w:rPr>
                <w:rFonts w:ascii="Times New Roman" w:hAnsi="Times New Roman"/>
                <w:b/>
                <w:color w:val="231F20"/>
              </w:rPr>
              <w:t>građevin</w:t>
            </w:r>
            <w:r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4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4.466.836,48</w:t>
            </w:r>
          </w:p>
        </w:tc>
        <w:tc>
          <w:tcPr>
            <w:tcW w:w="161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-100.000,00</w:t>
            </w:r>
          </w:p>
        </w:tc>
        <w:tc>
          <w:tcPr>
            <w:tcW w:w="1543" w:type="dxa"/>
            <w:shd w:val="clear" w:color="auto" w:fill="F7CAAC" w:themeFill="accent2" w:themeFillTint="66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4.366.836,48</w:t>
            </w:r>
          </w:p>
        </w:tc>
      </w:tr>
    </w:tbl>
    <w:p>
      <w:pPr>
        <w:pStyle w:val="Tijeloteksta"/>
        <w:rPr>
          <w:b/>
          <w:color w:val="231F20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3. Program građenja komunalne infrastrukture na području Općine Vladislavci u 2022. godini („Službeni glasnik“ broj 16/21) mijenja se i sada glasi: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„U tijeku 2022. godine planira  se  rekonstrukcija postojećih građevina komunalne infrastrukture u naseljima na </w:t>
      </w:r>
      <w:r>
        <w:rPr>
          <w:color w:val="231F20"/>
        </w:rPr>
        <w:t xml:space="preserve">području Općine Vladislavci :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94"/>
        <w:gridCol w:w="1700"/>
        <w:gridCol w:w="1541"/>
        <w:gridCol w:w="1437"/>
        <w:gridCol w:w="1701"/>
      </w:tblGrid>
      <w:tr>
        <w:tc>
          <w:tcPr>
            <w:tcW w:w="843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58583955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94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1" w:type="dxa"/>
            <w:shd w:val="clear" w:color="auto" w:fill="BDD6EE" w:themeFill="accent1" w:themeFillTint="6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37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6"/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Rekonstrukcija kapelice na groblju u  Dopsinu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ind w:left="-79" w:firstLine="79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kapelice 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ceste poljoprivredne namjene u Dopsinu (k.č.br. 155 i 182 k.o. Dopsin)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650.123,44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ceste  u Dopsinu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619.165,18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30.958,26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455.086,41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195.037,03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3.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pješačkih staza u naselju Vladislavci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527.730,00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pješačkih staza u Vladislavcima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502.600,00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25.130,00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369.411,00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komunalna naknada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6.480,00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3.3.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151.839,00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4. 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parkirališta – prilagođavanje  parkirališta za pristup osobama s invaliditetom ispred nogometnog igrališta u Dopsinu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</w:rPr>
              <w:t>javna parkirališta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parkirališta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>
        <w:tc>
          <w:tcPr>
            <w:tcW w:w="843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694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44.000,00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+3.091,80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47.091,80</w:t>
            </w:r>
          </w:p>
        </w:tc>
      </w:tr>
      <w:tr>
        <w:tc>
          <w:tcPr>
            <w:tcW w:w="84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a.</w:t>
            </w:r>
          </w:p>
        </w:tc>
        <w:tc>
          <w:tcPr>
            <w:tcW w:w="3694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700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44.000,00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+3.091,80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47.091,80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b.</w:t>
            </w:r>
          </w:p>
        </w:tc>
        <w:tc>
          <w:tcPr>
            <w:tcW w:w="3694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700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0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37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5.1.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5.2.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izvori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44.000,00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-25.591,22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18.408,78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5.3.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šumski doprinos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+27.372,20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27.372,20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5.4.</w:t>
            </w:r>
          </w:p>
        </w:tc>
        <w:tc>
          <w:tcPr>
            <w:tcW w:w="3694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prihod od naknade za legalizaciju</w:t>
            </w:r>
          </w:p>
        </w:tc>
        <w:tc>
          <w:tcPr>
            <w:tcW w:w="1700" w:type="dxa"/>
          </w:tcPr>
          <w:p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37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+1.310,82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1.310,82</w:t>
            </w:r>
          </w:p>
        </w:tc>
      </w:tr>
      <w:tr>
        <w:tc>
          <w:tcPr>
            <w:tcW w:w="843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94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0" w:type="dxa"/>
            <w:shd w:val="clear" w:color="auto" w:fill="FBE4D5" w:themeFill="accent2" w:themeFillTint="33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41" w:type="dxa"/>
            <w:shd w:val="clear" w:color="auto" w:fill="FBE4D5" w:themeFill="accent2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1.584.103,44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+3.091,80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1.587.195,24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lastRenderedPageBreak/>
        <w:t xml:space="preserve">Članak </w:t>
      </w:r>
      <w:r>
        <w:rPr>
          <w:rFonts w:ascii="Times New Roman" w:hAnsi="Times New Roman"/>
          <w:b/>
          <w:lang w:val="hr-HR"/>
        </w:rPr>
        <w:t>4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5. Program građenja komunalne infrastrukture na području Općine Vladislavci u 2022. godini („Službeni glasnik“ broj 16/21)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Utvrđuje se slijedeća rekapitulacija programa po vrsti i izvorima financiranja građenja komunalne infrastrukture: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Rekapitulacija vrsta komunalne infrastrukture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655"/>
        <w:gridCol w:w="1790"/>
        <w:gridCol w:w="1952"/>
        <w:gridCol w:w="2126"/>
      </w:tblGrid>
      <w:tr>
        <w:tc>
          <w:tcPr>
            <w:tcW w:w="826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55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52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4.466.836,48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-100.000,00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4.366.836,48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1.584.103,44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+3.091,80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1.587.195,24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</w:tcPr>
          <w:p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55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79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52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126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26" w:type="dxa"/>
            <w:shd w:val="clear" w:color="auto" w:fill="DEEAF6" w:themeFill="accent1" w:themeFillTint="33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55" w:type="dxa"/>
            <w:shd w:val="clear" w:color="auto" w:fill="DEEAF6" w:themeFill="accent1" w:themeFillTint="33"/>
          </w:tcPr>
          <w:p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UKUPNO 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6.050.939,92</w:t>
            </w:r>
          </w:p>
        </w:tc>
        <w:tc>
          <w:tcPr>
            <w:tcW w:w="1952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-96.908,20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5.954.031,72</w:t>
            </w:r>
          </w:p>
        </w:tc>
      </w:tr>
    </w:tbl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b/>
          <w:lang w:val="hr-HR"/>
        </w:rPr>
      </w:pPr>
    </w:p>
    <w:p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692"/>
        <w:gridCol w:w="1701"/>
        <w:gridCol w:w="1843"/>
        <w:gridCol w:w="2268"/>
      </w:tblGrid>
      <w:tr>
        <w:tc>
          <w:tcPr>
            <w:tcW w:w="845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92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 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Smanjenje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941.898,92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-224.676,71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717.222,21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+6.372,71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8.372,71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2.000,00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+163.210,02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165.210,02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11.480,00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6.480,00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zadržavanje nezakonito izgrađenih zgrada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+1.310,82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1.310,82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2.012.437,71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-38.750,00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1.973.687,71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2.603.217,03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+625,00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2.603.842,03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2" w:type="dxa"/>
          </w:tcPr>
          <w:p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Pomoć- Proračun Općina Čepin i Općina </w:t>
            </w:r>
            <w:proofErr w:type="spellStart"/>
            <w:r>
              <w:rPr>
                <w:color w:val="231F20"/>
              </w:rPr>
              <w:t>PUnitovci</w:t>
            </w:r>
            <w:proofErr w:type="spellEnd"/>
            <w:r>
              <w:rPr>
                <w:color w:val="231F20"/>
              </w:rPr>
              <w:t xml:space="preserve">  </w:t>
            </w:r>
          </w:p>
        </w:tc>
        <w:tc>
          <w:tcPr>
            <w:tcW w:w="170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157.906,22</w:t>
            </w:r>
          </w:p>
        </w:tc>
        <w:tc>
          <w:tcPr>
            <w:tcW w:w="184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157.906,22</w:t>
            </w:r>
          </w:p>
        </w:tc>
      </w:tr>
      <w:tr>
        <w:tc>
          <w:tcPr>
            <w:tcW w:w="845" w:type="dxa"/>
            <w:shd w:val="clear" w:color="auto" w:fill="DEEAF6" w:themeFill="accent1" w:themeFillTint="33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2" w:type="dxa"/>
            <w:shd w:val="clear" w:color="auto" w:fill="DEEAF6" w:themeFill="accent1" w:themeFillTint="33"/>
          </w:tcPr>
          <w:p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UKUPNO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6.050.939,92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-96.908,20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5.954.031,72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Članak 5.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osmog dana od dana objave u  „Službenom glasniku“ Općine Vladislavci. </w:t>
      </w: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363-02/21-18/02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2158-41-01-22-06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24. listopada 2022. </w:t>
      </w:r>
    </w:p>
    <w:p>
      <w:pPr>
        <w:pStyle w:val="Tijeloteksta"/>
        <w:rPr>
          <w:rFonts w:ascii="Times New Roman" w:eastAsia="Calibri" w:hAnsi="Times New Roman"/>
        </w:rPr>
      </w:pP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6812">
    <w:abstractNumId w:val="19"/>
  </w:num>
  <w:num w:numId="2" w16cid:durableId="1147553770">
    <w:abstractNumId w:val="26"/>
  </w:num>
  <w:num w:numId="3" w16cid:durableId="1925841093">
    <w:abstractNumId w:val="29"/>
  </w:num>
  <w:num w:numId="4" w16cid:durableId="1671522727">
    <w:abstractNumId w:val="11"/>
  </w:num>
  <w:num w:numId="5" w16cid:durableId="1739784864">
    <w:abstractNumId w:val="0"/>
  </w:num>
  <w:num w:numId="6" w16cid:durableId="266739457">
    <w:abstractNumId w:val="8"/>
  </w:num>
  <w:num w:numId="7" w16cid:durableId="1876382433">
    <w:abstractNumId w:val="27"/>
  </w:num>
  <w:num w:numId="8" w16cid:durableId="900405765">
    <w:abstractNumId w:val="14"/>
  </w:num>
  <w:num w:numId="9" w16cid:durableId="2128036691">
    <w:abstractNumId w:val="22"/>
  </w:num>
  <w:num w:numId="10" w16cid:durableId="1722090256">
    <w:abstractNumId w:val="3"/>
  </w:num>
  <w:num w:numId="11" w16cid:durableId="295532552">
    <w:abstractNumId w:val="1"/>
  </w:num>
  <w:num w:numId="12" w16cid:durableId="37632613">
    <w:abstractNumId w:val="21"/>
  </w:num>
  <w:num w:numId="13" w16cid:durableId="814830862">
    <w:abstractNumId w:val="24"/>
  </w:num>
  <w:num w:numId="14" w16cid:durableId="1375959434">
    <w:abstractNumId w:val="30"/>
  </w:num>
  <w:num w:numId="15" w16cid:durableId="703792154">
    <w:abstractNumId w:val="4"/>
  </w:num>
  <w:num w:numId="16" w16cid:durableId="578558205">
    <w:abstractNumId w:val="6"/>
  </w:num>
  <w:num w:numId="17" w16cid:durableId="677079587">
    <w:abstractNumId w:val="5"/>
  </w:num>
  <w:num w:numId="18" w16cid:durableId="616763825">
    <w:abstractNumId w:val="12"/>
  </w:num>
  <w:num w:numId="19" w16cid:durableId="1124343920">
    <w:abstractNumId w:val="9"/>
  </w:num>
  <w:num w:numId="20" w16cid:durableId="664750137">
    <w:abstractNumId w:val="23"/>
  </w:num>
  <w:num w:numId="21" w16cid:durableId="144203573">
    <w:abstractNumId w:val="13"/>
  </w:num>
  <w:num w:numId="22" w16cid:durableId="226571907">
    <w:abstractNumId w:val="16"/>
  </w:num>
  <w:num w:numId="23" w16cid:durableId="163399791">
    <w:abstractNumId w:val="10"/>
  </w:num>
  <w:num w:numId="24" w16cid:durableId="799765876">
    <w:abstractNumId w:val="31"/>
  </w:num>
  <w:num w:numId="25" w16cid:durableId="546914633">
    <w:abstractNumId w:val="7"/>
  </w:num>
  <w:num w:numId="26" w16cid:durableId="1331102046">
    <w:abstractNumId w:val="20"/>
  </w:num>
  <w:num w:numId="27" w16cid:durableId="1726836202">
    <w:abstractNumId w:val="28"/>
  </w:num>
  <w:num w:numId="28" w16cid:durableId="1219050187">
    <w:abstractNumId w:val="15"/>
  </w:num>
  <w:num w:numId="29" w16cid:durableId="1973053299">
    <w:abstractNumId w:val="25"/>
  </w:num>
  <w:num w:numId="30" w16cid:durableId="999652244">
    <w:abstractNumId w:val="17"/>
  </w:num>
  <w:num w:numId="31" w16cid:durableId="656037258">
    <w:abstractNumId w:val="18"/>
  </w:num>
  <w:num w:numId="32" w16cid:durableId="64770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36</cp:revision>
  <cp:lastPrinted>2022-10-25T07:08:00Z</cp:lastPrinted>
  <dcterms:created xsi:type="dcterms:W3CDTF">2019-12-13T11:19:00Z</dcterms:created>
  <dcterms:modified xsi:type="dcterms:W3CDTF">2022-10-25T07:23:00Z</dcterms:modified>
</cp:coreProperties>
</file>