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8CA8C" w14:textId="67C24F6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 xml:space="preserve">akona o komunalnom gospodarstvu („Narodne novine broj: </w:t>
      </w:r>
      <w:r>
        <w:rPr>
          <w:rFonts w:ascii="Times New Roman" w:hAnsi="Times New Roman"/>
          <w:lang w:val="hr-HR"/>
        </w:rPr>
        <w:t>68/18, 110/18 i 32/20</w:t>
      </w:r>
      <w:r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r>
        <w:rPr>
          <w:rFonts w:ascii="Times New Roman" w:hAnsi="Times New Roman"/>
        </w:rPr>
        <w:t>tatuta Općine Vladislavci („Službeni glasnik Općine Vladislavci broj 3/13</w:t>
      </w:r>
      <w:r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>
        <w:rPr>
          <w:rFonts w:ascii="Times New Roman" w:hAnsi="Times New Roman"/>
          <w:lang w:val="hr-HR"/>
        </w:rPr>
        <w:t>, 2/18, 4/20, 5/20 – pročišćeni tekst, 8/20, 2/21 i 3/21 – pročišćeni tekst</w:t>
      </w:r>
      <w:r>
        <w:rPr>
          <w:rFonts w:ascii="Times New Roman" w:hAnsi="Times New Roman"/>
        </w:rPr>
        <w:t xml:space="preserve">) Općinsko vijeće Općine Vladislavci na svojoj </w:t>
      </w:r>
      <w:r>
        <w:rPr>
          <w:rFonts w:ascii="Times New Roman" w:hAnsi="Times New Roman"/>
          <w:lang w:val="hr-HR"/>
        </w:rPr>
        <w:t xml:space="preserve">24. </w:t>
      </w:r>
      <w:r>
        <w:rPr>
          <w:rFonts w:ascii="Times New Roman" w:hAnsi="Times New Roman"/>
        </w:rPr>
        <w:t xml:space="preserve">sjednici održanoj </w:t>
      </w:r>
      <w:r>
        <w:rPr>
          <w:rFonts w:ascii="Times New Roman" w:hAnsi="Times New Roman"/>
          <w:lang w:val="hr-HR"/>
        </w:rPr>
        <w:t xml:space="preserve"> 16. ožujka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hr-HR"/>
        </w:rPr>
        <w:t>23</w:t>
      </w:r>
      <w:r>
        <w:rPr>
          <w:rFonts w:ascii="Times New Roman" w:hAnsi="Times New Roman"/>
        </w:rPr>
        <w:t>. godine donosi</w:t>
      </w:r>
    </w:p>
    <w:p w14:paraId="3B0F15E1" w14:textId="77777777">
      <w:pPr>
        <w:pStyle w:val="Tijeloteksta"/>
        <w:rPr>
          <w:rFonts w:ascii="Times New Roman" w:hAnsi="Times New Roman"/>
        </w:rPr>
      </w:pPr>
    </w:p>
    <w:p w14:paraId="4CC73B58" w14:textId="77777777">
      <w:pPr>
        <w:pStyle w:val="Tijeloteksta"/>
        <w:rPr>
          <w:rFonts w:ascii="Times New Roman" w:hAnsi="Times New Roman"/>
        </w:rPr>
      </w:pPr>
    </w:p>
    <w:p w14:paraId="123C7A4F" w14:textId="7874861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IZMJENE I DOPUNE </w:t>
      </w:r>
      <w:r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  <w:lang w:val="hr-HR"/>
        </w:rPr>
        <w:t>A</w:t>
      </w:r>
    </w:p>
    <w:p w14:paraId="352CEC49" w14:textId="7777777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</w:rPr>
        <w:t xml:space="preserve">održavanja komunalne infrastrukture </w:t>
      </w:r>
    </w:p>
    <w:p w14:paraId="17718038" w14:textId="7777777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području Općine Vladislavci za 20</w:t>
      </w:r>
      <w:r>
        <w:rPr>
          <w:rFonts w:ascii="Times New Roman" w:hAnsi="Times New Roman"/>
          <w:b/>
          <w:bCs/>
          <w:lang w:val="hr-HR"/>
        </w:rPr>
        <w:t>23</w:t>
      </w:r>
      <w:r>
        <w:rPr>
          <w:rFonts w:ascii="Times New Roman" w:hAnsi="Times New Roman"/>
          <w:b/>
          <w:bCs/>
        </w:rPr>
        <w:t xml:space="preserve">. godinu </w:t>
      </w:r>
    </w:p>
    <w:p w14:paraId="785093B2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463F0C13" w14:textId="77777777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BBF0AD7" w14:textId="77777777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I</w:t>
      </w:r>
      <w:r>
        <w:rPr>
          <w:rFonts w:ascii="Times New Roman" w:hAnsi="Times New Roman"/>
          <w:b/>
        </w:rPr>
        <w:t>.</w:t>
      </w:r>
    </w:p>
    <w:p w14:paraId="1FD8E93C" w14:textId="4B1DD57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Izmjenama i dopunama Programa održavanja komunalne infrastrukture na području Općine Vladislavci za 2023. godinu („Službeni glasnik“ Općine Vladislavci broj 13/22) u točki 4. stavku 2. brojevi 4.643,00 eura/34.982,68 kuna“ zamjenjuju se brojevima „8.684,72 eura/66.791,23 kuna“.</w:t>
      </w:r>
    </w:p>
    <w:p w14:paraId="5B4C1D7B" w14:textId="7777777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točki 4. u tablici iza rednog broja 2. dodaje se redni broj „3. Registracija teretnog motornog vozila za potrebe Vlastitog komunalnog pogona 1.010,00 eura/7.609,85 kuna“.</w:t>
      </w:r>
    </w:p>
    <w:p w14:paraId="3D5DA734" w14:textId="760C5B11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točki 4. u tablici iza rednog broja 3. dodaje se redni broj „4. Opremanje radnika Vlastitog komunalnog pogona alatima za rad 3.211,72 eura/24.198,70 kuna“. </w:t>
      </w:r>
    </w:p>
    <w:p w14:paraId="530E9289" w14:textId="1B215A74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točki 6. u stavku 2. brojevi „ 17.167,72 eura/129.350,18 kuna“ zamjenjuju se brojevima „12.946,0 eura/97.541,64 kuna“.</w:t>
      </w:r>
    </w:p>
    <w:p w14:paraId="4D2D2B16" w14:textId="3FC00E9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točki 9. u tablici 2. RASHODI pod II. iza rednog broja 2. dodaje se redni broj „3. Registracija teretnog motornog vozila za potrebe Vlastitog komunalnog pogona 1.010,00 eura/7.609,85 kuna“.</w:t>
      </w:r>
    </w:p>
    <w:p w14:paraId="1460FBDB" w14:textId="1C0000F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točki 9. u tablici 2. RASHODI pod II. iza rednog broja 3. dodaje se redni broj „4. Opremanje radnika Vlastitog komunalnog pogona alatima za rad 3.211,72 eura/24.198,70 kuna“. </w:t>
      </w:r>
    </w:p>
    <w:p w14:paraId="47323922" w14:textId="7F4E3320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točki 9. u tablici 2. RASHODI pod II. pod UKUPNO II. brojevi „4.463,00 eura/34.982,68 kuna“ zamjenjuju se brojevima „8.864,72 eura/66.791,23 kuna“</w:t>
      </w:r>
    </w:p>
    <w:p w14:paraId="39D18E31" w14:textId="3FA50AD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točki 9. u tablici 2. RASHODI pod IV. U rednom broju 2. brojevi „5.221,00 eura/39.343,04 kuna“ zamjenjuju se brojevima „1.000,00 eura/7.534,50 kuna“</w:t>
      </w:r>
    </w:p>
    <w:p w14:paraId="04B685A6" w14:textId="00A5E3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točki 9. u tablici 2. RASHODI pod IV. pod UKUPNO IV. brojevi „17.167,72 eura/ 129.350,18 kuna“ zamjenjuju se brojevima „12.946,00 eura/97.541,64 kuna“</w:t>
      </w:r>
    </w:p>
    <w:p w14:paraId="337F6850" w14:textId="77777777">
      <w:pPr>
        <w:pStyle w:val="Tijeloteksta"/>
        <w:rPr>
          <w:rFonts w:ascii="Times New Roman" w:hAnsi="Times New Roman"/>
          <w:lang w:val="hr-HR"/>
        </w:rPr>
      </w:pPr>
    </w:p>
    <w:p w14:paraId="2030D143" w14:textId="58DADC82">
      <w:pPr>
        <w:pStyle w:val="Tijeloteksta"/>
        <w:rPr>
          <w:rFonts w:ascii="Times New Roman" w:hAnsi="Times New Roman"/>
          <w:lang w:val="hr-HR"/>
        </w:rPr>
      </w:pPr>
    </w:p>
    <w:p w14:paraId="16732911" w14:textId="7777777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14:paraId="00C033D5" w14:textId="76C9F87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Ostale odredbe Programa održavanja komunalne infrastrukture na području Općine Vladislavci za 2023. godinu („Službeni glasnik“ Općine Vladislavci broj 13/22) ostaju nepromijenjene.</w:t>
      </w:r>
    </w:p>
    <w:p w14:paraId="20977491" w14:textId="77777777">
      <w:pPr>
        <w:pStyle w:val="Tijeloteksta"/>
        <w:jc w:val="center"/>
        <w:rPr>
          <w:rFonts w:ascii="Times New Roman" w:hAnsi="Times New Roman"/>
          <w:lang w:val="hr-HR"/>
        </w:rPr>
      </w:pPr>
    </w:p>
    <w:p w14:paraId="31365C2B" w14:textId="6891131F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III.</w:t>
      </w:r>
    </w:p>
    <w:p w14:paraId="585C4321" w14:textId="7777777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216F4E3" w14:textId="3917EA9D">
      <w:pPr>
        <w:pStyle w:val="Tijeloteksta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Ov</w:t>
      </w:r>
      <w:r>
        <w:rPr>
          <w:rFonts w:ascii="Times New Roman" w:hAnsi="Times New Roman"/>
          <w:lang w:val="hr-HR"/>
        </w:rPr>
        <w:t>e Izmjene i dopune</w:t>
      </w:r>
      <w:r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</w:rPr>
        <w:t xml:space="preserve"> objavit će se u  „Službenom glasniku“ Općine Vladislavci.</w:t>
      </w:r>
    </w:p>
    <w:p w14:paraId="15BD57D3" w14:textId="77777777">
      <w:pPr>
        <w:rPr>
          <w:rFonts w:ascii="Times New Roman" w:hAnsi="Times New Roman"/>
          <w:b/>
          <w:lang w:val="hr-HR"/>
        </w:rPr>
      </w:pPr>
    </w:p>
    <w:p w14:paraId="1BDEE557" w14:textId="7777777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400-01/22-08/01</w:t>
      </w:r>
    </w:p>
    <w:p w14:paraId="5110EA1C" w14:textId="2DEFC9DD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URBROJ: 2158-41-01-22-04</w:t>
      </w:r>
    </w:p>
    <w:p w14:paraId="10F21429" w14:textId="70056DD9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sv-SE"/>
        </w:rPr>
        <w:t>Vladislavci, 16. ožujka 2023.</w:t>
      </w:r>
    </w:p>
    <w:p w14:paraId="31FC1028" w14:textId="77777777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Predsjednik</w:t>
      </w:r>
    </w:p>
    <w:p w14:paraId="2E04AF44" w14:textId="77777777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Općinskog vijeća</w:t>
      </w:r>
    </w:p>
    <w:p w14:paraId="77A3BB59" w14:textId="65904CB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 w14:paraId="5F573007" w14:textId="77777777">
      <w:pPr>
        <w:pStyle w:val="Tijeloteksta"/>
        <w:jc w:val="center"/>
        <w:rPr>
          <w:rFonts w:ascii="Times New Roman" w:hAnsi="Times New Roman"/>
          <w:lang w:val="hr-HR"/>
        </w:rPr>
      </w:pPr>
    </w:p>
    <w:p w14:paraId="2EDA6F8F" w14:textId="77777777">
      <w:pPr>
        <w:pStyle w:val="Tijeloteksta"/>
        <w:jc w:val="center"/>
        <w:rPr>
          <w:rFonts w:ascii="Times New Roman" w:hAnsi="Times New Roman"/>
          <w:lang w:val="hr-HR"/>
        </w:rPr>
      </w:pPr>
    </w:p>
    <w:p w14:paraId="0CF693D3" w14:textId="77777777">
      <w:pPr>
        <w:pStyle w:val="Tijeloteksta"/>
        <w:jc w:val="center"/>
        <w:rPr>
          <w:rFonts w:ascii="Times New Roman" w:hAnsi="Times New Roman"/>
          <w:lang w:val="hr-HR"/>
        </w:rPr>
      </w:pPr>
    </w:p>
    <w:p w14:paraId="6A91B514" w14:textId="77777777">
      <w:pPr>
        <w:pStyle w:val="Tijeloteksta"/>
        <w:jc w:val="center"/>
        <w:rPr>
          <w:rFonts w:ascii="Times New Roman" w:hAnsi="Times New Roman"/>
          <w:lang w:val="hr-HR"/>
        </w:rPr>
      </w:pPr>
    </w:p>
    <w:p w14:paraId="6ACFE6D3" w14:textId="77777777">
      <w:pPr>
        <w:pStyle w:val="Tijeloteksta"/>
        <w:rPr>
          <w:rFonts w:ascii="Times New Roman" w:hAnsi="Times New Roman"/>
          <w:lang w:val="hr-HR"/>
        </w:rPr>
      </w:pPr>
    </w:p>
    <w:sectPr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7B9B" w14:textId="77777777">
      <w:r>
        <w:separator/>
      </w:r>
    </w:p>
  </w:endnote>
  <w:endnote w:type="continuationSeparator" w:id="0">
    <w:p w14:paraId="4C8393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D382" w14:textId="7777777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8A5EC1C" w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B15E" w14:textId="77777777">
      <w:r>
        <w:separator/>
      </w:r>
    </w:p>
  </w:footnote>
  <w:footnote w:type="continuationSeparator" w:id="0">
    <w:p w14:paraId="7BC458F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879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77F9D"/>
    <w:multiLevelType w:val="hybridMultilevel"/>
    <w:tmpl w:val="CA28E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C0E9A"/>
    <w:multiLevelType w:val="hybridMultilevel"/>
    <w:tmpl w:val="8892EA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91085">
    <w:abstractNumId w:val="4"/>
  </w:num>
  <w:num w:numId="2" w16cid:durableId="937640704">
    <w:abstractNumId w:val="10"/>
  </w:num>
  <w:num w:numId="3" w16cid:durableId="960577745">
    <w:abstractNumId w:val="15"/>
  </w:num>
  <w:num w:numId="4" w16cid:durableId="1963731238">
    <w:abstractNumId w:val="3"/>
  </w:num>
  <w:num w:numId="5" w16cid:durableId="237256526">
    <w:abstractNumId w:val="0"/>
  </w:num>
  <w:num w:numId="6" w16cid:durableId="1852181871">
    <w:abstractNumId w:val="2"/>
  </w:num>
  <w:num w:numId="7" w16cid:durableId="2006784623">
    <w:abstractNumId w:val="14"/>
  </w:num>
  <w:num w:numId="8" w16cid:durableId="219446207">
    <w:abstractNumId w:val="9"/>
  </w:num>
  <w:num w:numId="9" w16cid:durableId="470903468">
    <w:abstractNumId w:val="1"/>
  </w:num>
  <w:num w:numId="10" w16cid:durableId="591009257">
    <w:abstractNumId w:val="13"/>
  </w:num>
  <w:num w:numId="11" w16cid:durableId="4014408">
    <w:abstractNumId w:val="11"/>
  </w:num>
  <w:num w:numId="12" w16cid:durableId="375859512">
    <w:abstractNumId w:val="6"/>
  </w:num>
  <w:num w:numId="13" w16cid:durableId="710496647">
    <w:abstractNumId w:val="8"/>
  </w:num>
  <w:num w:numId="14" w16cid:durableId="1158377461">
    <w:abstractNumId w:val="5"/>
  </w:num>
  <w:num w:numId="15" w16cid:durableId="1672561769">
    <w:abstractNumId w:val="12"/>
  </w:num>
  <w:num w:numId="16" w16cid:durableId="330108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5</cp:revision>
  <cp:lastPrinted>2023-03-14T08:38:00Z</cp:lastPrinted>
  <dcterms:created xsi:type="dcterms:W3CDTF">2023-03-14T08:28:00Z</dcterms:created>
  <dcterms:modified xsi:type="dcterms:W3CDTF">2023-03-17T10:56:00Z</dcterms:modified>
</cp:coreProperties>
</file>