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</w:rPr>
      </w:pPr>
      <w:bookmarkStart w:id="0" w:name="_Hlk121828874"/>
      <w:r>
        <w:rPr>
          <w:rFonts w:ascii="Times New Roman" w:hAnsi="Times New Roman"/>
        </w:rPr>
        <w:t xml:space="preserve">Temeljem članka </w:t>
      </w:r>
      <w:r>
        <w:rPr>
          <w:rFonts w:ascii="Times New Roman" w:hAnsi="Times New Roman"/>
          <w:lang w:val="hr-HR"/>
        </w:rPr>
        <w:t>72.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Z</w:t>
      </w:r>
      <w:proofErr w:type="spellStart"/>
      <w:r>
        <w:rPr>
          <w:rFonts w:ascii="Times New Roman" w:hAnsi="Times New Roman"/>
        </w:rPr>
        <w:t>akona</w:t>
      </w:r>
      <w:proofErr w:type="spellEnd"/>
      <w:r>
        <w:rPr>
          <w:rFonts w:ascii="Times New Roman" w:hAnsi="Times New Roman"/>
        </w:rPr>
        <w:t xml:space="preserve"> o komunalnom gospodarstvu („Narodne novine broj: </w:t>
      </w:r>
      <w:r>
        <w:rPr>
          <w:rFonts w:ascii="Times New Roman" w:hAnsi="Times New Roman"/>
          <w:lang w:val="hr-HR"/>
        </w:rPr>
        <w:t>68/18, 110/18 i 32/20</w:t>
      </w:r>
      <w:r>
        <w:rPr>
          <w:rFonts w:ascii="Times New Roman" w:hAnsi="Times New Roman"/>
        </w:rPr>
        <w:t xml:space="preserve">), te članka 30. </w:t>
      </w:r>
      <w:r>
        <w:rPr>
          <w:rFonts w:ascii="Times New Roman" w:hAnsi="Times New Roman"/>
          <w:lang w:val="hr-HR"/>
        </w:rPr>
        <w:t>S</w:t>
      </w:r>
      <w:proofErr w:type="spellStart"/>
      <w:r>
        <w:rPr>
          <w:rFonts w:ascii="Times New Roman" w:hAnsi="Times New Roman"/>
        </w:rPr>
        <w:t>tatuta</w:t>
      </w:r>
      <w:proofErr w:type="spellEnd"/>
      <w:r>
        <w:rPr>
          <w:rFonts w:ascii="Times New Roman" w:hAnsi="Times New Roman"/>
        </w:rPr>
        <w:t xml:space="preserve"> Općine Vladislavci („Službeni glasnik Općine Vladislavci broj 3/13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>
        <w:rPr>
          <w:rFonts w:ascii="Times New Roman" w:hAnsi="Times New Roman"/>
          <w:lang w:val="hr-HR"/>
        </w:rPr>
        <w:t>, 2/18, 4/20, 5/20 – pročišćeni tekst, 8/20, 2/21 i 3/21 – pročišćeni tekst</w:t>
      </w:r>
      <w:r>
        <w:rPr>
          <w:rFonts w:ascii="Times New Roman" w:hAnsi="Times New Roman"/>
        </w:rPr>
        <w:t xml:space="preserve">) Općinsko vijeće Općine Vladislavci na svojoj </w:t>
      </w:r>
      <w:r>
        <w:rPr>
          <w:rFonts w:ascii="Times New Roman" w:hAnsi="Times New Roman"/>
          <w:lang w:val="hr-HR"/>
        </w:rPr>
        <w:t xml:space="preserve">21. </w:t>
      </w:r>
      <w:r>
        <w:rPr>
          <w:rFonts w:ascii="Times New Roman" w:hAnsi="Times New Roman"/>
        </w:rPr>
        <w:t xml:space="preserve">sjednici održanoj </w:t>
      </w:r>
      <w:r>
        <w:rPr>
          <w:rFonts w:ascii="Times New Roman" w:hAnsi="Times New Roman"/>
          <w:lang w:val="hr-HR"/>
        </w:rPr>
        <w:t xml:space="preserve"> 15. prosinca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hr-HR"/>
        </w:rPr>
        <w:t>22</w:t>
      </w:r>
      <w:r>
        <w:rPr>
          <w:rFonts w:ascii="Times New Roman" w:hAnsi="Times New Roman"/>
        </w:rPr>
        <w:t>. godine donosi</w:t>
      </w:r>
    </w:p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PROGRAM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</w:rPr>
        <w:t xml:space="preserve">održavanja komunalne infrastrukture 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području Općine Vladislavci za 20</w:t>
      </w:r>
      <w:r>
        <w:rPr>
          <w:rFonts w:ascii="Times New Roman" w:hAnsi="Times New Roman"/>
          <w:b/>
          <w:bCs/>
          <w:lang w:val="hr-HR"/>
        </w:rPr>
        <w:t>23</w:t>
      </w:r>
      <w:r>
        <w:rPr>
          <w:rFonts w:ascii="Times New Roman" w:hAnsi="Times New Roman"/>
          <w:b/>
          <w:bCs/>
        </w:rPr>
        <w:t xml:space="preserve">. godinu </w:t>
      </w:r>
    </w:p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  <w:bCs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I</w:t>
      </w:r>
      <w:r>
        <w:rPr>
          <w:rFonts w:ascii="Times New Roman" w:hAnsi="Times New Roman"/>
          <w:b/>
        </w:rPr>
        <w:t>.</w:t>
      </w:r>
    </w:p>
    <w:p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Ovim Programom određuje se održavanje komunalne infrastrukture na području Općine Vladislavci u 2023. godini,  opis i opseg poslova održavanja komunalne infrastrukture s procjenom pojedinih troškova, po djelatnostima, i iskaz financijskih sredstava potrebnih za ostvarivanje programa, s naznakom izvora financiranja. </w:t>
      </w:r>
    </w:p>
    <w:p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  <w:r>
        <w:t xml:space="preserve">Ovim Programom određuje se održavanje slijedeće komunalne infrastrukture po djelatnostima:  </w:t>
      </w:r>
      <w:bookmarkStart w:id="1" w:name="_Hlk89251367"/>
      <w:r>
        <w:rPr>
          <w:color w:val="231F20"/>
          <w:sz w:val="20"/>
          <w:szCs w:val="20"/>
        </w:rPr>
        <w:t>.</w:t>
      </w:r>
    </w:p>
    <w:p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bookmarkStart w:id="2" w:name="_Hlk89250531"/>
      <w:r>
        <w:t>održavanje nerazvrstanih cesta</w:t>
      </w:r>
    </w:p>
    <w:p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>
        <w:t>održavanje javnih površina na kojima nije dopušten promet motornim vozilima</w:t>
      </w:r>
    </w:p>
    <w:p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>
        <w:t>održavanje građevina javne odvodnje oborinskih voda</w:t>
      </w:r>
    </w:p>
    <w:p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>
        <w:t>održavanje javnih zelenih površina</w:t>
      </w:r>
    </w:p>
    <w:p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>
        <w:t xml:space="preserve">održavanje groblja </w:t>
      </w:r>
    </w:p>
    <w:p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>
        <w:t>održavanje čistoće javnih površina</w:t>
      </w:r>
    </w:p>
    <w:p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>
        <w:t>održavanje javne rasvjete</w:t>
      </w:r>
    </w:p>
    <w:bookmarkEnd w:id="1"/>
    <w:bookmarkEnd w:id="2"/>
    <w:p>
      <w:pPr>
        <w:pStyle w:val="Tijeloteksta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Sredstva za financiranje održavanja komunalne infrastrukture na području Općine Vladislavci u 2023. godini planiraju se iz slijedećih vrsta prihoda : </w:t>
      </w:r>
    </w:p>
    <w:p>
      <w:pPr>
        <w:pStyle w:val="Tijeloteksta"/>
        <w:rPr>
          <w:rFonts w:ascii="Times New Roman" w:hAnsi="Times New Roman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5971"/>
        <w:gridCol w:w="2693"/>
      </w:tblGrid>
      <w:tr>
        <w:tc>
          <w:tcPr>
            <w:tcW w:w="970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971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PRIHODA</w:t>
            </w:r>
          </w:p>
        </w:tc>
        <w:tc>
          <w:tcPr>
            <w:tcW w:w="2693" w:type="dxa"/>
            <w:shd w:val="clear" w:color="auto" w:fill="D9D9D9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EURIMA/KUNAMA</w:t>
            </w:r>
          </w:p>
        </w:tc>
      </w:tr>
      <w:tr>
        <w:tc>
          <w:tcPr>
            <w:tcW w:w="970" w:type="dxa"/>
            <w:shd w:val="clear" w:color="auto" w:fill="auto"/>
          </w:tcPr>
          <w:p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Prihodi od komunalne naknade 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53.752,74/405.000,00</w:t>
            </w:r>
          </w:p>
        </w:tc>
      </w:tr>
      <w:tr>
        <w:tc>
          <w:tcPr>
            <w:tcW w:w="970" w:type="dxa"/>
          </w:tcPr>
          <w:p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hr-HR"/>
              </w:rPr>
              <w:t xml:space="preserve">rihodi od grobne naknade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12.079,00/91.009,23</w:t>
            </w:r>
          </w:p>
        </w:tc>
      </w:tr>
      <w:tr>
        <w:tc>
          <w:tcPr>
            <w:tcW w:w="970" w:type="dxa"/>
          </w:tcPr>
          <w:p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pomoći od HZZ za program javnih radova</w:t>
            </w:r>
          </w:p>
        </w:tc>
        <w:tc>
          <w:tcPr>
            <w:tcW w:w="269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4.510,00/33.980,59</w:t>
            </w:r>
          </w:p>
        </w:tc>
      </w:tr>
      <w:tr>
        <w:tc>
          <w:tcPr>
            <w:tcW w:w="970" w:type="dxa"/>
          </w:tcPr>
          <w:p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Ostali prihodi Proračuna Općine</w:t>
            </w:r>
          </w:p>
        </w:tc>
        <w:tc>
          <w:tcPr>
            <w:tcW w:w="269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15.782,00/ 118.909,48</w:t>
            </w:r>
          </w:p>
        </w:tc>
      </w:tr>
      <w:tr>
        <w:tc>
          <w:tcPr>
            <w:tcW w:w="97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71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86.123,74/648.899,30</w:t>
            </w:r>
          </w:p>
        </w:tc>
      </w:tr>
    </w:tbl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Održavanje</w:t>
      </w:r>
      <w:r>
        <w:rPr>
          <w:rFonts w:ascii="Times New Roman" w:hAnsi="Times New Roman"/>
        </w:rPr>
        <w:t xml:space="preserve"> nerazvrstanih cesta </w:t>
      </w:r>
      <w:r>
        <w:rPr>
          <w:rFonts w:ascii="Times New Roman" w:hAnsi="Times New Roman"/>
          <w:lang w:val="hr-HR"/>
        </w:rPr>
        <w:t xml:space="preserve">odnosi se na </w:t>
      </w:r>
      <w:r>
        <w:rPr>
          <w:rFonts w:ascii="Times New Roman" w:hAnsi="Times New Roman"/>
        </w:rPr>
        <w:t xml:space="preserve"> zimsko održavanje nerazvrstanih cesta, tj. </w:t>
      </w:r>
      <w:r>
        <w:rPr>
          <w:rFonts w:ascii="Times New Roman" w:hAnsi="Times New Roman"/>
          <w:lang w:val="hr-HR"/>
        </w:rPr>
        <w:t>u</w:t>
      </w:r>
      <w:r>
        <w:rPr>
          <w:rFonts w:ascii="Times New Roman" w:hAnsi="Times New Roman"/>
        </w:rPr>
        <w:t xml:space="preserve">klanjanje snijega i leda s nerazvrstanih cesta. Potrebna sredstva za realizaciju gore navedenih aktivnosti iznose </w:t>
      </w:r>
      <w:r>
        <w:rPr>
          <w:rFonts w:ascii="Times New Roman" w:hAnsi="Times New Roman"/>
          <w:lang w:val="hr-HR"/>
        </w:rPr>
        <w:t>1.330,00 eura /10.020,89</w:t>
      </w:r>
      <w:r>
        <w:rPr>
          <w:rFonts w:ascii="Times New Roman" w:hAnsi="Times New Roman"/>
        </w:rPr>
        <w:t xml:space="preserve"> k</w:t>
      </w:r>
      <w:r>
        <w:rPr>
          <w:rFonts w:ascii="Times New Roman" w:hAnsi="Times New Roman"/>
          <w:lang w:val="hr-HR"/>
        </w:rPr>
        <w:t>una</w:t>
      </w:r>
      <w:r>
        <w:rPr>
          <w:rFonts w:ascii="Times New Roman" w:hAnsi="Times New Roman"/>
        </w:rPr>
        <w:t>.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Održavaju se slijedeće nerazvrstane ceste na području Općine Vladislavci : 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NASELJE VLADISLAVCI:</w:t>
      </w:r>
    </w:p>
    <w:p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Športska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ulica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558 m ‘</w:t>
      </w:r>
    </w:p>
    <w:p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Kralja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Zvonimira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223 m’</w:t>
      </w:r>
    </w:p>
    <w:p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Kralja</w:t>
      </w:r>
      <w:proofErr w:type="spellEnd"/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Krešimira</w:t>
      </w:r>
      <w:proofErr w:type="spellEnd"/>
      <w:r>
        <w:rPr>
          <w:rFonts w:ascii="Times New Roman" w:hAnsi="Times New Roman"/>
        </w:rPr>
        <w:t xml:space="preserve"> IV, </w:t>
      </w:r>
      <w:proofErr w:type="spellStart"/>
      <w:proofErr w:type="gram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 223</w:t>
      </w:r>
      <w:proofErr w:type="gramEnd"/>
      <w:r>
        <w:rPr>
          <w:rFonts w:ascii="Times New Roman" w:hAnsi="Times New Roman"/>
        </w:rPr>
        <w:t xml:space="preserve"> m ‘</w:t>
      </w:r>
    </w:p>
    <w:p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Petra </w:t>
      </w:r>
      <w:proofErr w:type="spellStart"/>
      <w:r>
        <w:rPr>
          <w:rFonts w:ascii="Times New Roman" w:hAnsi="Times New Roman"/>
        </w:rPr>
        <w:t>Svačića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160 m’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NASELJE DOPSIN:</w:t>
      </w:r>
    </w:p>
    <w:p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J. J. </w:t>
      </w:r>
      <w:proofErr w:type="spellStart"/>
      <w:proofErr w:type="gramStart"/>
      <w:r>
        <w:rPr>
          <w:rFonts w:ascii="Times New Roman" w:hAnsi="Times New Roman"/>
        </w:rPr>
        <w:t>Strossmayera</w:t>
      </w:r>
      <w:proofErr w:type="spellEnd"/>
      <w:r>
        <w:rPr>
          <w:rFonts w:ascii="Times New Roman" w:hAnsi="Times New Roman"/>
        </w:rPr>
        <w:t xml:space="preserve">  od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kućnog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broja</w:t>
      </w:r>
      <w:proofErr w:type="spellEnd"/>
      <w:r>
        <w:rPr>
          <w:rFonts w:ascii="Times New Roman" w:hAnsi="Times New Roman"/>
        </w:rPr>
        <w:t xml:space="preserve"> 120 </w:t>
      </w:r>
      <w:proofErr w:type="spellStart"/>
      <w:r>
        <w:rPr>
          <w:rFonts w:ascii="Times New Roman" w:hAnsi="Times New Roman"/>
        </w:rPr>
        <w:t>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desno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kraja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910,00 m’</w:t>
      </w:r>
    </w:p>
    <w:p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Svetog</w:t>
      </w:r>
      <w:proofErr w:type="spellEnd"/>
      <w:r>
        <w:rPr>
          <w:rFonts w:ascii="Times New Roman" w:hAnsi="Times New Roman"/>
        </w:rPr>
        <w:t xml:space="preserve"> Ivana, </w:t>
      </w:r>
      <w:proofErr w:type="spell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360 m’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NASELJE HRASTIN:</w:t>
      </w:r>
    </w:p>
    <w:p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Ferenca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Kiša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550,00 m’</w:t>
      </w:r>
    </w:p>
    <w:p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Dobriše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Cesarića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 150</w:t>
      </w:r>
      <w:proofErr w:type="gramEnd"/>
      <w:r>
        <w:rPr>
          <w:rFonts w:ascii="Times New Roman" w:hAnsi="Times New Roman"/>
        </w:rPr>
        <w:t>,00 m ‘</w:t>
      </w:r>
    </w:p>
    <w:p>
      <w:pPr>
        <w:jc w:val="both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IV</w:t>
      </w:r>
      <w:r>
        <w:rPr>
          <w:rFonts w:ascii="Times New Roman" w:hAnsi="Times New Roman"/>
          <w:b/>
        </w:rPr>
        <w:t>.</w:t>
      </w:r>
    </w:p>
    <w:p>
      <w:pPr>
        <w:pStyle w:val="Tijeloteksta"/>
        <w:jc w:val="center"/>
        <w:rPr>
          <w:rFonts w:ascii="Times New Roman" w:hAnsi="Times New Roman"/>
          <w:b/>
        </w:rPr>
      </w:pPr>
    </w:p>
    <w:p>
      <w:pPr>
        <w:pStyle w:val="box458203"/>
        <w:spacing w:before="0" w:beforeAutospacing="0" w:after="48" w:afterAutospacing="0"/>
        <w:jc w:val="both"/>
        <w:textAlignment w:val="baseline"/>
      </w:pPr>
      <w:r>
        <w:t>Održavanje javnih površina na kojima nije dopušten promet motornim vozilima  odnosi se na košenje trave ispred objekata u vlasništvu Općine Vladislavci. Poslove održavanja javnih površina obavljati će posebna organizacijska jedinica u Jedinstvenom upravnom odjelu Općine Vladislavci -Vlastiti komunalni pogon Općine Vladislavci.</w:t>
      </w:r>
    </w:p>
    <w:p>
      <w:pPr>
        <w:pStyle w:val="box458203"/>
        <w:spacing w:before="0" w:beforeAutospacing="0" w:after="48" w:afterAutospacing="0"/>
        <w:jc w:val="both"/>
        <w:textAlignment w:val="baseline"/>
      </w:pPr>
    </w:p>
    <w:p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održavanje javnih površina</w:t>
      </w:r>
      <w:r>
        <w:rPr>
          <w:rFonts w:ascii="Times New Roman" w:hAnsi="Times New Roman"/>
          <w:lang w:val="hr-HR"/>
        </w:rPr>
        <w:t xml:space="preserve"> </w:t>
      </w:r>
      <w:r>
        <w:t xml:space="preserve"> </w:t>
      </w:r>
      <w:r>
        <w:rPr>
          <w:rFonts w:ascii="Times New Roman" w:hAnsi="Times New Roman"/>
        </w:rPr>
        <w:t xml:space="preserve">na kojima nije dopušten promet motornim vozilima </w:t>
      </w:r>
      <w:r>
        <w:rPr>
          <w:rFonts w:ascii="Times New Roman" w:hAnsi="Times New Roman"/>
          <w:lang w:val="hr-HR"/>
        </w:rPr>
        <w:t xml:space="preserve"> u iznosu od 4.643,00 eura/34.982,68</w:t>
      </w:r>
      <w:r>
        <w:rPr>
          <w:rFonts w:ascii="Times New Roman" w:hAnsi="Times New Roman"/>
          <w:b/>
          <w:bCs/>
          <w:lang w:val="hr-HR"/>
        </w:rPr>
        <w:t xml:space="preserve">  kuna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>odnose se na sljedeće:</w:t>
      </w:r>
    </w:p>
    <w:p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3"/>
        <w:gridCol w:w="6045"/>
        <w:gridCol w:w="9"/>
        <w:gridCol w:w="2107"/>
      </w:tblGrid>
      <w:tr>
        <w:trPr>
          <w:trHeight w:val="611"/>
        </w:trPr>
        <w:tc>
          <w:tcPr>
            <w:tcW w:w="843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bookmarkStart w:id="3" w:name="_Hlk58501144"/>
            <w:r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6054" w:type="dxa"/>
            <w:gridSpan w:val="2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EURIMA/ KUNAMA</w:t>
            </w:r>
          </w:p>
        </w:tc>
      </w:tr>
      <w:bookmarkEnd w:id="3"/>
      <w:tr>
        <w:trPr>
          <w:trHeight w:val="570"/>
        </w:trPr>
        <w:tc>
          <w:tcPr>
            <w:tcW w:w="843" w:type="dxa"/>
          </w:tcPr>
          <w:p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54" w:type="dxa"/>
            <w:gridSpan w:val="2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Službena radna zaštitna odjeća i obuća</w:t>
            </w:r>
          </w:p>
        </w:tc>
        <w:tc>
          <w:tcPr>
            <w:tcW w:w="2107" w:type="dxa"/>
          </w:tcPr>
          <w:p>
            <w:pPr>
              <w:pStyle w:val="Tijeloteksta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133,00/1.002,09</w:t>
            </w:r>
          </w:p>
        </w:tc>
      </w:tr>
      <w:tr>
        <w:trPr>
          <w:trHeight w:val="519"/>
        </w:trPr>
        <w:tc>
          <w:tcPr>
            <w:tcW w:w="843" w:type="dxa"/>
          </w:tcPr>
          <w:p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54" w:type="dxa"/>
            <w:gridSpan w:val="2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Plaće, troškovi zaštite na radu i liječnički pregledi zaposlenih u Programu javnih radova</w:t>
            </w:r>
          </w:p>
        </w:tc>
        <w:tc>
          <w:tcPr>
            <w:tcW w:w="2107" w:type="dxa"/>
          </w:tcPr>
          <w:p>
            <w:pPr>
              <w:pStyle w:val="Tijeloteksta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4.510,00/33.980,59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43" w:type="dxa"/>
          </w:tcPr>
          <w:p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4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UKUPNO</w:t>
            </w:r>
          </w:p>
        </w:tc>
        <w:tc>
          <w:tcPr>
            <w:tcW w:w="2116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4.643,00/34.982,68</w:t>
            </w:r>
          </w:p>
        </w:tc>
      </w:tr>
    </w:tbl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V</w:t>
      </w:r>
      <w:r>
        <w:rPr>
          <w:rFonts w:ascii="Times New Roman" w:hAnsi="Times New Roman"/>
          <w:b/>
        </w:rPr>
        <w:t>.</w:t>
      </w:r>
    </w:p>
    <w:p>
      <w:pPr>
        <w:pStyle w:val="Tijeloteksta"/>
        <w:jc w:val="center"/>
        <w:rPr>
          <w:rFonts w:ascii="Times New Roman" w:hAnsi="Times New Roman"/>
          <w:b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Održavanje javnih</w:t>
      </w:r>
      <w:r>
        <w:rPr>
          <w:rFonts w:ascii="Times New Roman" w:hAnsi="Times New Roman"/>
          <w:lang w:val="hr-HR"/>
        </w:rPr>
        <w:t xml:space="preserve"> zelenih </w:t>
      </w:r>
      <w:r>
        <w:rPr>
          <w:rFonts w:ascii="Times New Roman" w:hAnsi="Times New Roman"/>
        </w:rPr>
        <w:t xml:space="preserve">površina odnosi se na ostale javne površine koje nisu sadržane u </w:t>
      </w:r>
      <w:r>
        <w:rPr>
          <w:rFonts w:ascii="Times New Roman" w:hAnsi="Times New Roman"/>
          <w:lang w:val="hr-HR"/>
        </w:rPr>
        <w:t>točci IV</w:t>
      </w:r>
      <w:r>
        <w:rPr>
          <w:rFonts w:ascii="Times New Roman" w:hAnsi="Times New Roman"/>
        </w:rPr>
        <w:t>. Programa</w:t>
      </w:r>
      <w:r>
        <w:rPr>
          <w:rFonts w:ascii="Times New Roman" w:hAnsi="Times New Roman"/>
          <w:lang w:val="hr-HR"/>
        </w:rPr>
        <w:t xml:space="preserve">, a obuhvaća poslove košenja javnih površina 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Poslove </w:t>
      </w:r>
      <w:r>
        <w:rPr>
          <w:rFonts w:ascii="Times New Roman" w:hAnsi="Times New Roman"/>
          <w:lang w:val="hr-HR"/>
        </w:rPr>
        <w:t xml:space="preserve">održavanja javnih zelenih površina </w:t>
      </w:r>
      <w:r>
        <w:rPr>
          <w:rFonts w:ascii="Times New Roman" w:hAnsi="Times New Roman"/>
        </w:rPr>
        <w:t xml:space="preserve">obavljat će </w:t>
      </w:r>
      <w:r>
        <w:rPr>
          <w:rFonts w:ascii="Times New Roman" w:hAnsi="Times New Roman"/>
          <w:lang w:val="hr-HR"/>
        </w:rPr>
        <w:t>pravna ili fizička osoba na temelju pisanog ugovora po provedenom postupku jednostavne nabave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Potrebna sredstava za održavanje javnih zelenih površina planirana su Proračunom Općine Vladislavci za 2023. godinu u iznosu od 23.757,00 eura /178.997,12 kuna.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VI.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Poslov</w:t>
      </w:r>
      <w:r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</w:rPr>
        <w:t xml:space="preserve"> održavanja groblja </w:t>
      </w:r>
      <w:r>
        <w:rPr>
          <w:rFonts w:ascii="Times New Roman" w:hAnsi="Times New Roman"/>
          <w:shd w:val="clear" w:color="auto" w:fill="FFFFFF"/>
          <w:lang w:val="hr-HR"/>
        </w:rPr>
        <w:t xml:space="preserve">obuhvaćaju </w:t>
      </w:r>
      <w:r>
        <w:rPr>
          <w:rFonts w:ascii="Times New Roman" w:hAnsi="Times New Roman"/>
          <w:shd w:val="clear" w:color="auto" w:fill="FFFFFF"/>
        </w:rPr>
        <w:t>uređivanje putova, zelenih i drugih površina unutar groblja</w:t>
      </w:r>
      <w:r>
        <w:rPr>
          <w:rFonts w:ascii="Times New Roman" w:hAnsi="Times New Roman"/>
          <w:shd w:val="clear" w:color="auto" w:fill="FFFFFF"/>
          <w:lang w:val="hr-HR"/>
        </w:rPr>
        <w:t xml:space="preserve"> u Vladislavcima, Dopsinu i Hrastinu. 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Poslov</w:t>
      </w:r>
      <w:r>
        <w:rPr>
          <w:rFonts w:ascii="Times New Roman" w:hAnsi="Times New Roman"/>
          <w:lang w:val="hr-HR"/>
        </w:rPr>
        <w:t xml:space="preserve">e </w:t>
      </w:r>
      <w:r>
        <w:rPr>
          <w:rFonts w:ascii="Times New Roman" w:hAnsi="Times New Roman"/>
        </w:rPr>
        <w:t>održavanja groblja obavljat će trgovačko društvo Komunalac Čepin d.o.o.</w:t>
      </w:r>
      <w:r>
        <w:rPr>
          <w:rFonts w:ascii="Times New Roman" w:hAnsi="Times New Roman"/>
          <w:lang w:val="hr-HR"/>
        </w:rPr>
        <w:t xml:space="preserve">, trgovačko društvo </w:t>
      </w:r>
      <w:r>
        <w:rPr>
          <w:rFonts w:ascii="Times New Roman" w:hAnsi="Times New Roman"/>
        </w:rPr>
        <w:t xml:space="preserve"> u suvlasništvu Općine Vladislavci.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Potrebna sredstava za održavanje groblja  i za tekuće održavanje mrtvačnice u Vladislavcima planirana su Proračunom Općine Vladislavci za 2023. godinu u iznosu od 17.167,72 eura /129.350,18 kuna. 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VII. 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Održavanje javne rasvjete odnosi se na osiguranje potrebnih sredstava za održavanje rasvjetnih tijela na području Općine i utrošenu električnu energiju za javnu rasvjetu prema ispostavljenim računima </w:t>
      </w:r>
      <w:r>
        <w:rPr>
          <w:rFonts w:ascii="Times New Roman" w:hAnsi="Times New Roman"/>
          <w:lang w:val="hr-HR"/>
        </w:rPr>
        <w:t>distributera</w:t>
      </w:r>
      <w:r>
        <w:rPr>
          <w:rFonts w:ascii="Times New Roman" w:hAnsi="Times New Roman"/>
        </w:rPr>
        <w:t>.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Javna rasvjeta se održava u sljedećim naseljima: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javna rasvjeta u naselju </w:t>
      </w:r>
      <w:proofErr w:type="spellStart"/>
      <w:r>
        <w:rPr>
          <w:rFonts w:ascii="Times New Roman" w:hAnsi="Times New Roman"/>
        </w:rPr>
        <w:t>Vladisl</w:t>
      </w:r>
      <w:r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</w:rPr>
        <w:t>vci</w:t>
      </w:r>
      <w:proofErr w:type="spellEnd"/>
      <w:r>
        <w:rPr>
          <w:rFonts w:ascii="Times New Roman" w:hAnsi="Times New Roman"/>
        </w:rPr>
        <w:t xml:space="preserve"> u ulicama K. Tomislava, P. Svačića, K. Zvonimira, Športska, E. Kiša, K.P. </w:t>
      </w:r>
      <w:r>
        <w:rPr>
          <w:rFonts w:ascii="Times New Roman" w:hAnsi="Times New Roman"/>
          <w:lang w:val="hr-HR"/>
        </w:rPr>
        <w:t>K</w:t>
      </w:r>
      <w:proofErr w:type="spellStart"/>
      <w:r>
        <w:rPr>
          <w:rFonts w:ascii="Times New Roman" w:hAnsi="Times New Roman"/>
        </w:rPr>
        <w:t>rešimiva</w:t>
      </w:r>
      <w:proofErr w:type="spell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  <w:lang w:val="hr-HR"/>
        </w:rPr>
        <w:t>V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Kudeljara</w:t>
      </w:r>
      <w:proofErr w:type="spellEnd"/>
      <w:r>
        <w:rPr>
          <w:rFonts w:ascii="Times New Roman" w:hAnsi="Times New Roman"/>
        </w:rPr>
        <w:t xml:space="preserve"> i Ciglana</w:t>
      </w:r>
    </w:p>
    <w:p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Dopsin u ulicama J. J. Strossmayera i Sv. Ivana</w:t>
      </w:r>
    </w:p>
    <w:p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Hrastin u ulicama Š. Petefija, F. Kiša,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Nikole Šubića Zrinskoga </w:t>
      </w:r>
    </w:p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gore navedenu aktivnosti planirani u Proračunu za 20</w:t>
      </w:r>
      <w:r>
        <w:rPr>
          <w:rFonts w:ascii="Times New Roman" w:hAnsi="Times New Roman"/>
          <w:lang w:val="hr-HR"/>
        </w:rPr>
        <w:t>23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hr-HR"/>
        </w:rPr>
        <w:t>g</w:t>
      </w:r>
      <w:proofErr w:type="spellStart"/>
      <w:r>
        <w:rPr>
          <w:rFonts w:ascii="Times New Roman" w:hAnsi="Times New Roman"/>
        </w:rPr>
        <w:t>odinu</w:t>
      </w:r>
      <w:proofErr w:type="spellEnd"/>
      <w:r>
        <w:rPr>
          <w:rFonts w:ascii="Times New Roman" w:hAnsi="Times New Roman"/>
        </w:rPr>
        <w:t xml:space="preserve"> iznose:</w:t>
      </w:r>
    </w:p>
    <w:p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846"/>
        <w:gridCol w:w="6095"/>
        <w:gridCol w:w="2693"/>
      </w:tblGrid>
      <w:tr>
        <w:tc>
          <w:tcPr>
            <w:tcW w:w="846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846" w:type="dxa"/>
          </w:tcPr>
          <w:p>
            <w:pPr>
              <w:pStyle w:val="Tijeloteksta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95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održavanje javne rasvjete</w:t>
            </w:r>
          </w:p>
        </w:tc>
        <w:tc>
          <w:tcPr>
            <w:tcW w:w="269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10.027,00/75.548,43</w:t>
            </w:r>
          </w:p>
        </w:tc>
      </w:tr>
      <w:tr>
        <w:tc>
          <w:tcPr>
            <w:tcW w:w="846" w:type="dxa"/>
          </w:tcPr>
          <w:p>
            <w:pPr>
              <w:pStyle w:val="Tijeloteksta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6095" w:type="dxa"/>
          </w:tcPr>
          <w:p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utrošak električne energije</w:t>
            </w:r>
          </w:p>
        </w:tc>
        <w:tc>
          <w:tcPr>
            <w:tcW w:w="269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29.199,02/220.000,00</w:t>
            </w:r>
          </w:p>
        </w:tc>
      </w:tr>
    </w:tbl>
    <w:p>
      <w:pPr>
        <w:pStyle w:val="Tijeloteksta"/>
        <w:jc w:val="left"/>
        <w:rPr>
          <w:rFonts w:ascii="Times New Roman" w:hAnsi="Times New Roman"/>
        </w:rPr>
      </w:pPr>
    </w:p>
    <w:p>
      <w:pPr>
        <w:pStyle w:val="Tijeloteksta"/>
        <w:jc w:val="center"/>
        <w:rPr>
          <w:rFonts w:ascii="Times New Roman" w:hAnsi="Times New Roman"/>
          <w:b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VIII.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Program održavanja komunalne infrastrukture izvršava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 xml:space="preserve"> se u skladu s prihodima od komunalne i grobne naknade i ostalim prihodima.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IX. 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Utvrđuje se slijedeća rekapitulacija Programa: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numPr>
          <w:ilvl w:val="0"/>
          <w:numId w:val="16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PRIHODI</w:t>
      </w:r>
    </w:p>
    <w:p>
      <w:pPr>
        <w:pStyle w:val="Tijeloteksta"/>
        <w:ind w:left="1080"/>
        <w:rPr>
          <w:rFonts w:ascii="Times New Roman" w:hAnsi="Times New Roman"/>
          <w:b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5971"/>
        <w:gridCol w:w="2693"/>
      </w:tblGrid>
      <w:tr>
        <w:tc>
          <w:tcPr>
            <w:tcW w:w="970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971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PRIHODA</w:t>
            </w:r>
          </w:p>
        </w:tc>
        <w:tc>
          <w:tcPr>
            <w:tcW w:w="2693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>
        <w:tc>
          <w:tcPr>
            <w:tcW w:w="970" w:type="dxa"/>
            <w:shd w:val="clear" w:color="auto" w:fill="auto"/>
          </w:tcPr>
          <w:p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  <w:shd w:val="clear" w:color="auto" w:fill="auto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Prihodi od komunalne naknade 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53.752,74/405.000,00</w:t>
            </w:r>
          </w:p>
        </w:tc>
      </w:tr>
      <w:tr>
        <w:tc>
          <w:tcPr>
            <w:tcW w:w="970" w:type="dxa"/>
          </w:tcPr>
          <w:p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hr-HR"/>
              </w:rPr>
              <w:t xml:space="preserve">rihodi od grobne naknade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12.079,00/91.009,23</w:t>
            </w:r>
          </w:p>
        </w:tc>
      </w:tr>
      <w:tr>
        <w:tc>
          <w:tcPr>
            <w:tcW w:w="970" w:type="dxa"/>
          </w:tcPr>
          <w:p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pomoći od HZZ za program javnih radova</w:t>
            </w:r>
          </w:p>
        </w:tc>
        <w:tc>
          <w:tcPr>
            <w:tcW w:w="269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4.510,00/33.980,59</w:t>
            </w:r>
          </w:p>
        </w:tc>
      </w:tr>
      <w:tr>
        <w:tc>
          <w:tcPr>
            <w:tcW w:w="970" w:type="dxa"/>
          </w:tcPr>
          <w:p>
            <w:pPr>
              <w:pStyle w:val="Tijeloteksta"/>
              <w:numPr>
                <w:ilvl w:val="0"/>
                <w:numId w:val="15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71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Ostali prihodi Proračuna Općine</w:t>
            </w:r>
          </w:p>
        </w:tc>
        <w:tc>
          <w:tcPr>
            <w:tcW w:w="2693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15.782,00/118.909,48</w:t>
            </w:r>
          </w:p>
        </w:tc>
      </w:tr>
      <w:tr>
        <w:tc>
          <w:tcPr>
            <w:tcW w:w="970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71" w:type="dxa"/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86.123,74/648.899,30</w:t>
            </w:r>
          </w:p>
        </w:tc>
      </w:tr>
    </w:tbl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numPr>
          <w:ilvl w:val="0"/>
          <w:numId w:val="16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RASHODI: </w:t>
      </w:r>
    </w:p>
    <w:p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928"/>
        <w:gridCol w:w="2835"/>
      </w:tblGrid>
      <w:tr>
        <w:tc>
          <w:tcPr>
            <w:tcW w:w="988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4" w:name="_Hlk90463419"/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928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2835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EURIMA/ KUNAMA</w:t>
            </w:r>
          </w:p>
        </w:tc>
      </w:tr>
      <w:tr>
        <w:tc>
          <w:tcPr>
            <w:tcW w:w="988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5" w:name="_Hlk89251057"/>
            <w:bookmarkEnd w:id="4"/>
            <w:r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5928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2835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bookmarkEnd w:id="5"/>
      <w:tr>
        <w:tc>
          <w:tcPr>
            <w:tcW w:w="988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928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1.330,00/10.020,89</w:t>
            </w:r>
          </w:p>
        </w:tc>
      </w:tr>
      <w:tr>
        <w:tc>
          <w:tcPr>
            <w:tcW w:w="988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28" w:type="dxa"/>
            <w:shd w:val="clear" w:color="auto" w:fill="FFFF00"/>
          </w:tcPr>
          <w:p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</w:t>
            </w:r>
          </w:p>
        </w:tc>
        <w:tc>
          <w:tcPr>
            <w:tcW w:w="2835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1.330,00/10.020,89</w:t>
            </w:r>
          </w:p>
        </w:tc>
      </w:tr>
      <w:t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JAVNIH POVRŠINA NA KOJIMA NIJE DOPUŠTEN PROMET MOTORNIM VOZILIMA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rPr>
          <w:trHeight w:val="495"/>
        </w:trPr>
        <w:tc>
          <w:tcPr>
            <w:tcW w:w="988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928" w:type="dxa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Službena radna zaštitna odjeća i obuća</w:t>
            </w:r>
          </w:p>
        </w:tc>
        <w:tc>
          <w:tcPr>
            <w:tcW w:w="283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133,00/1.002,09</w:t>
            </w:r>
          </w:p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rPr>
          <w:trHeight w:val="330"/>
        </w:trPr>
        <w:tc>
          <w:tcPr>
            <w:tcW w:w="988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928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Plaće, troškovi zaštite na radu i liječnički pregledi zaposlenih u Programu javnih radova</w:t>
            </w:r>
          </w:p>
        </w:tc>
        <w:tc>
          <w:tcPr>
            <w:tcW w:w="283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4.510,00/33.980,59</w:t>
            </w:r>
          </w:p>
        </w:tc>
      </w:tr>
      <w:tr>
        <w:tc>
          <w:tcPr>
            <w:tcW w:w="988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28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II</w:t>
            </w:r>
          </w:p>
        </w:tc>
        <w:tc>
          <w:tcPr>
            <w:tcW w:w="2835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4.643,00/34.982,68</w:t>
            </w:r>
          </w:p>
        </w:tc>
      </w:tr>
      <w:tr>
        <w:tc>
          <w:tcPr>
            <w:tcW w:w="988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III.</w:t>
            </w:r>
          </w:p>
        </w:tc>
        <w:tc>
          <w:tcPr>
            <w:tcW w:w="5928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ODRŽAVANJE JAVNIH ZELENIH POVRŠINA</w:t>
            </w:r>
          </w:p>
        </w:tc>
        <w:tc>
          <w:tcPr>
            <w:tcW w:w="2835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988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928" w:type="dxa"/>
            <w:shd w:val="clear" w:color="auto" w:fill="FFFFFF" w:themeFill="background1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Održavanje javnih zelenih površina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23.757,00/178.997,12</w:t>
            </w:r>
          </w:p>
        </w:tc>
      </w:tr>
      <w:tr>
        <w:tc>
          <w:tcPr>
            <w:tcW w:w="988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28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III</w:t>
            </w:r>
          </w:p>
        </w:tc>
        <w:tc>
          <w:tcPr>
            <w:tcW w:w="2835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23.757,00/178.997,12</w:t>
            </w:r>
          </w:p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ODRŽAVANJE GROBLJA </w:t>
            </w:r>
          </w:p>
          <w:p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988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6" w:name="_Hlk89251040"/>
            <w:r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928" w:type="dxa"/>
            <w:shd w:val="clear" w:color="auto" w:fill="D9D9D9"/>
          </w:tcPr>
          <w:p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2835" w:type="dxa"/>
            <w:shd w:val="clear" w:color="auto" w:fill="D9D9D9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</w:t>
            </w:r>
          </w:p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lastRenderedPageBreak/>
              <w:t>U EURIMA/KUNAMA</w:t>
            </w:r>
          </w:p>
        </w:tc>
      </w:tr>
      <w:bookmarkEnd w:id="6"/>
      <w:tr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lastRenderedPageBreak/>
              <w:t>1.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Održavanje groblja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11.946,00/90.007,14</w:t>
            </w:r>
          </w:p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rPr>
          <w:trHeight w:val="3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održavanje mrtvačnice u Vladislavcima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5.221,72/39.343,04</w:t>
            </w:r>
          </w:p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>
        <w:tc>
          <w:tcPr>
            <w:tcW w:w="988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28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IV</w:t>
            </w:r>
          </w:p>
        </w:tc>
        <w:tc>
          <w:tcPr>
            <w:tcW w:w="2835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17.167,72/129.350,18</w:t>
            </w:r>
          </w:p>
        </w:tc>
      </w:tr>
      <w:tr>
        <w:tc>
          <w:tcPr>
            <w:tcW w:w="988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V.</w:t>
            </w:r>
          </w:p>
        </w:tc>
        <w:tc>
          <w:tcPr>
            <w:tcW w:w="5928" w:type="dxa"/>
            <w:shd w:val="clear" w:color="auto" w:fill="D9D9D9"/>
          </w:tcPr>
          <w:p>
            <w:pPr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2835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>
        <w:tc>
          <w:tcPr>
            <w:tcW w:w="988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928" w:type="dxa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2835" w:type="dxa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10.027,00/75.548,43</w:t>
            </w:r>
          </w:p>
        </w:tc>
      </w:tr>
      <w:tr>
        <w:tc>
          <w:tcPr>
            <w:tcW w:w="988" w:type="dxa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928" w:type="dxa"/>
          </w:tcPr>
          <w:p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2835" w:type="dxa"/>
          </w:tcPr>
          <w:p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        29.199,02/220.000,00</w:t>
            </w:r>
          </w:p>
        </w:tc>
      </w:tr>
      <w:tr>
        <w:tc>
          <w:tcPr>
            <w:tcW w:w="988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28" w:type="dxa"/>
            <w:shd w:val="clear" w:color="auto" w:fill="FFFF00"/>
          </w:tcPr>
          <w:p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UKUPNO V</w:t>
            </w:r>
          </w:p>
        </w:tc>
        <w:tc>
          <w:tcPr>
            <w:tcW w:w="2835" w:type="dxa"/>
            <w:shd w:val="clear" w:color="auto" w:fill="FFFF00"/>
          </w:tcPr>
          <w:p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39.226,02/295.548,43</w:t>
            </w:r>
          </w:p>
        </w:tc>
      </w:tr>
      <w:tr>
        <w:tc>
          <w:tcPr>
            <w:tcW w:w="988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28" w:type="dxa"/>
            <w:shd w:val="clear" w:color="auto" w:fill="D9D9D9"/>
          </w:tcPr>
          <w:p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2835" w:type="dxa"/>
            <w:shd w:val="clear" w:color="auto" w:fill="D9D9D9"/>
          </w:tcPr>
          <w:p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86.123,74/648.899,30</w:t>
            </w:r>
          </w:p>
        </w:tc>
      </w:tr>
    </w:tbl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X.</w:t>
      </w:r>
    </w:p>
    <w:p>
      <w:pPr>
        <w:pStyle w:val="Tijeloteksta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Ovaj Program objavit će se u  „Službenom glasniku“ Općine Vladislavci.</w:t>
      </w:r>
    </w:p>
    <w:p>
      <w:pPr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400-01/22-08/01</w:t>
      </w:r>
    </w:p>
    <w:p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URBROJ: 2158-41-01-22-02</w:t>
      </w:r>
    </w:p>
    <w:p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sv-SE"/>
        </w:rPr>
        <w:t>Vladislavci, 15. prosinca 2022.</w:t>
      </w:r>
    </w:p>
    <w:p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bookmarkEnd w:id="0"/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6879"/>
    <w:multiLevelType w:val="hybridMultilevel"/>
    <w:tmpl w:val="8892E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04908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77F9D"/>
    <w:multiLevelType w:val="hybridMultilevel"/>
    <w:tmpl w:val="CA28E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65792"/>
    <w:multiLevelType w:val="hybridMultilevel"/>
    <w:tmpl w:val="8892E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3B6152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C0E9A"/>
    <w:multiLevelType w:val="hybridMultilevel"/>
    <w:tmpl w:val="8892E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91085">
    <w:abstractNumId w:val="4"/>
  </w:num>
  <w:num w:numId="2" w16cid:durableId="937640704">
    <w:abstractNumId w:val="10"/>
  </w:num>
  <w:num w:numId="3" w16cid:durableId="960577745">
    <w:abstractNumId w:val="15"/>
  </w:num>
  <w:num w:numId="4" w16cid:durableId="1963731238">
    <w:abstractNumId w:val="3"/>
  </w:num>
  <w:num w:numId="5" w16cid:durableId="237256526">
    <w:abstractNumId w:val="0"/>
  </w:num>
  <w:num w:numId="6" w16cid:durableId="1852181871">
    <w:abstractNumId w:val="2"/>
  </w:num>
  <w:num w:numId="7" w16cid:durableId="2006784623">
    <w:abstractNumId w:val="14"/>
  </w:num>
  <w:num w:numId="8" w16cid:durableId="219446207">
    <w:abstractNumId w:val="9"/>
  </w:num>
  <w:num w:numId="9" w16cid:durableId="470903468">
    <w:abstractNumId w:val="1"/>
  </w:num>
  <w:num w:numId="10" w16cid:durableId="591009257">
    <w:abstractNumId w:val="13"/>
  </w:num>
  <w:num w:numId="11" w16cid:durableId="4014408">
    <w:abstractNumId w:val="11"/>
  </w:num>
  <w:num w:numId="12" w16cid:durableId="375859512">
    <w:abstractNumId w:val="6"/>
  </w:num>
  <w:num w:numId="13" w16cid:durableId="710496647">
    <w:abstractNumId w:val="8"/>
  </w:num>
  <w:num w:numId="14" w16cid:durableId="1158377461">
    <w:abstractNumId w:val="5"/>
  </w:num>
  <w:num w:numId="15" w16cid:durableId="1672561769">
    <w:abstractNumId w:val="12"/>
  </w:num>
  <w:num w:numId="16" w16cid:durableId="330108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30</cp:revision>
  <cp:lastPrinted>2022-12-09T09:34:00Z</cp:lastPrinted>
  <dcterms:created xsi:type="dcterms:W3CDTF">2022-11-11T09:46:00Z</dcterms:created>
  <dcterms:modified xsi:type="dcterms:W3CDTF">2022-12-13T13:56:00Z</dcterms:modified>
</cp:coreProperties>
</file>