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Temeljem članka 72. Zakona o komunalnom gospodarstvu („Narodne novine broj: 68/18, 110/18 i 32/20), te članka 30. Statuta Općine Vladislavci („Službeni glasnik Općine Vladislavci broj 3/13, 3/17, 2/18, 4/20, 5/20-pročišćeni tekst, 8/20, 2/21 i 3/21- pročišćeni tekst) Općinsko vijeće Općine Vladislavci na svojoj 22. sjednici održanoj 28. prosinca  2022. godine donosi</w:t>
      </w:r>
    </w:p>
    <w:p>
      <w:pPr>
        <w:pStyle w:val="Tijeloteksta"/>
        <w:rPr>
          <w:rFonts w:ascii="Times New Roman" w:hAnsi="Times New Roman"/>
        </w:rPr>
      </w:pPr>
    </w:p>
    <w:p>
      <w:pPr>
        <w:pStyle w:val="Tijeloteksta"/>
        <w:rPr>
          <w:rFonts w:ascii="Times New Roman" w:hAnsi="Times New Roman"/>
        </w:rPr>
      </w:pP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ODLUKU</w:t>
      </w: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o izmjenama Programa </w:t>
      </w:r>
      <w:r>
        <w:rPr>
          <w:rFonts w:ascii="Times New Roman" w:hAnsi="Times New Roman"/>
          <w:b/>
          <w:bCs/>
        </w:rPr>
        <w:t xml:space="preserve">održavanja komunalne infrastrukture </w:t>
      </w:r>
    </w:p>
    <w:p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 području Općine Vladislavci za 20</w:t>
      </w:r>
      <w:r>
        <w:rPr>
          <w:rFonts w:ascii="Times New Roman" w:hAnsi="Times New Roman"/>
          <w:b/>
          <w:bCs/>
          <w:lang w:val="hr-HR"/>
        </w:rPr>
        <w:t>22</w:t>
      </w:r>
      <w:r>
        <w:rPr>
          <w:rFonts w:ascii="Times New Roman" w:hAnsi="Times New Roman"/>
          <w:b/>
          <w:bCs/>
        </w:rPr>
        <w:t xml:space="preserve">. godinu </w:t>
      </w:r>
    </w:p>
    <w:p>
      <w:pPr>
        <w:pStyle w:val="Tijeloteksta"/>
        <w:jc w:val="center"/>
        <w:rPr>
          <w:rFonts w:ascii="Times New Roman" w:hAnsi="Times New Roman"/>
          <w:b/>
          <w:bCs/>
        </w:rPr>
      </w:pPr>
    </w:p>
    <w:p>
      <w:pPr>
        <w:pStyle w:val="Tijeloteksta"/>
        <w:jc w:val="center"/>
        <w:rPr>
          <w:rFonts w:ascii="Times New Roman" w:hAnsi="Times New Roman"/>
          <w:b/>
          <w:bCs/>
        </w:rPr>
      </w:pPr>
    </w:p>
    <w:p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1.</w:t>
      </w:r>
    </w:p>
    <w:p>
      <w:pPr>
        <w:pStyle w:val="Bezproreda"/>
        <w:jc w:val="both"/>
        <w:rPr>
          <w:rFonts w:ascii="Times New Roman" w:hAnsi="Times New Roman"/>
          <w:sz w:val="24"/>
          <w:szCs w:val="24"/>
        </w:rPr>
      </w:pPr>
      <w:bookmarkStart w:id="0" w:name="_Hlk89251367"/>
      <w:bookmarkStart w:id="1" w:name="_Hlk89250531"/>
      <w:r>
        <w:rPr>
          <w:rFonts w:ascii="Times New Roman" w:hAnsi="Times New Roman"/>
          <w:sz w:val="24"/>
          <w:szCs w:val="24"/>
        </w:rPr>
        <w:t xml:space="preserve">Program održavanja komunalne infrastrukture na području Općine Vladislavci za 2022. godinu („Službeni glasnik“ Općine Vladislavci broj 16/21, 6/22 i 11/22) mijenja se prema odredbama ove Odluke. </w:t>
      </w:r>
    </w:p>
    <w:p>
      <w:pPr>
        <w:pStyle w:val="box458203"/>
        <w:spacing w:before="0" w:beforeAutospacing="0" w:after="48" w:afterAutospacing="0"/>
        <w:textAlignment w:val="baseline"/>
      </w:pPr>
    </w:p>
    <w:bookmarkEnd w:id="0"/>
    <w:bookmarkEnd w:id="1"/>
    <w:p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2.</w:t>
      </w:r>
    </w:p>
    <w:p>
      <w:pPr>
        <w:pStyle w:val="Tijeloteksta"/>
        <w:rPr>
          <w:rFonts w:ascii="Times New Roman" w:hAnsi="Times New Roman"/>
          <w:bCs/>
          <w:lang w:val="hr-HR"/>
        </w:rPr>
      </w:pPr>
      <w:bookmarkStart w:id="2" w:name="_Hlk106712596"/>
      <w:r>
        <w:rPr>
          <w:rFonts w:ascii="Times New Roman" w:hAnsi="Times New Roman"/>
          <w:bCs/>
          <w:lang w:val="hr-HR"/>
        </w:rPr>
        <w:t xml:space="preserve">Članak 2. Programa održavanja komunalne infrastrukture na području Općine Vladislavci za 2022. godinu („Službeni glasnik“ Općine Vladislavci broj 16/21, 6/22 i 11/22) mijenja se i sada glasi: </w:t>
      </w:r>
      <w:bookmarkEnd w:id="2"/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 xml:space="preserve">„ </w:t>
      </w:r>
      <w:r>
        <w:rPr>
          <w:rFonts w:ascii="Times New Roman" w:hAnsi="Times New Roman"/>
          <w:lang w:val="hr-HR"/>
        </w:rPr>
        <w:t xml:space="preserve">Sredstva za financiranje održavanja komunalne infrastrukture na području Općine Vladislavci u 2022. godini planiraju se iz slijedećih vrsta prihoda : </w:t>
      </w:r>
    </w:p>
    <w:p>
      <w:pPr>
        <w:pStyle w:val="Tijeloteksta"/>
        <w:rPr>
          <w:rFonts w:ascii="Times New Roman" w:hAnsi="Times New Roman"/>
          <w:lang w:val="hr-HR"/>
        </w:rPr>
      </w:pPr>
    </w:p>
    <w:tbl>
      <w:tblPr>
        <w:tblW w:w="1035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873"/>
        <w:gridCol w:w="1979"/>
        <w:gridCol w:w="1778"/>
        <w:gridCol w:w="1778"/>
      </w:tblGrid>
      <w:tr>
        <w:tc>
          <w:tcPr>
            <w:tcW w:w="947" w:type="dxa"/>
            <w:shd w:val="clear" w:color="auto" w:fill="D9D9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3873" w:type="dxa"/>
            <w:shd w:val="clear" w:color="auto" w:fill="D9D9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VRSTA PRIHODA</w:t>
            </w:r>
          </w:p>
        </w:tc>
        <w:tc>
          <w:tcPr>
            <w:tcW w:w="1979" w:type="dxa"/>
            <w:shd w:val="clear" w:color="auto" w:fill="D9D9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IZNOS 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  <w:tc>
          <w:tcPr>
            <w:tcW w:w="1778" w:type="dxa"/>
            <w:shd w:val="clear" w:color="auto" w:fill="D9D9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</w:tc>
        <w:tc>
          <w:tcPr>
            <w:tcW w:w="1778" w:type="dxa"/>
            <w:shd w:val="clear" w:color="auto" w:fill="D9D9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</w:tr>
      <w:tr>
        <w:tc>
          <w:tcPr>
            <w:tcW w:w="947" w:type="dxa"/>
            <w:shd w:val="clear" w:color="auto" w:fill="auto"/>
          </w:tcPr>
          <w:p>
            <w:pPr>
              <w:pStyle w:val="Tijeloteksta"/>
              <w:numPr>
                <w:ilvl w:val="0"/>
                <w:numId w:val="13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73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Prihodi od komunalne naknade </w:t>
            </w:r>
          </w:p>
        </w:tc>
        <w:tc>
          <w:tcPr>
            <w:tcW w:w="1979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398.520,00</w:t>
            </w:r>
          </w:p>
        </w:tc>
        <w:tc>
          <w:tcPr>
            <w:tcW w:w="1778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-1.000,00</w:t>
            </w:r>
          </w:p>
        </w:tc>
        <w:tc>
          <w:tcPr>
            <w:tcW w:w="1778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397.520,00</w:t>
            </w:r>
          </w:p>
        </w:tc>
      </w:tr>
      <w:tr>
        <w:tc>
          <w:tcPr>
            <w:tcW w:w="947" w:type="dxa"/>
          </w:tcPr>
          <w:p>
            <w:pPr>
              <w:pStyle w:val="Tijeloteksta"/>
              <w:numPr>
                <w:ilvl w:val="0"/>
                <w:numId w:val="13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73" w:type="dxa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lang w:val="hr-HR"/>
              </w:rPr>
              <w:t xml:space="preserve">rihodi od grobne naknade 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79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91.000,00</w:t>
            </w:r>
          </w:p>
        </w:tc>
        <w:tc>
          <w:tcPr>
            <w:tcW w:w="1778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+6.000,00</w:t>
            </w:r>
          </w:p>
        </w:tc>
        <w:tc>
          <w:tcPr>
            <w:tcW w:w="1778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97.000,00</w:t>
            </w:r>
          </w:p>
        </w:tc>
      </w:tr>
      <w:tr>
        <w:tc>
          <w:tcPr>
            <w:tcW w:w="947" w:type="dxa"/>
          </w:tcPr>
          <w:p>
            <w:pPr>
              <w:pStyle w:val="Tijeloteksta"/>
              <w:numPr>
                <w:ilvl w:val="0"/>
                <w:numId w:val="13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7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tekuće pomoći od HZZ za program javnih radova</w:t>
            </w:r>
          </w:p>
        </w:tc>
        <w:tc>
          <w:tcPr>
            <w:tcW w:w="1979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33.978,44</w:t>
            </w:r>
          </w:p>
        </w:tc>
        <w:tc>
          <w:tcPr>
            <w:tcW w:w="1778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8" w:type="dxa"/>
          </w:tcPr>
          <w:p>
            <w:pPr>
              <w:pStyle w:val="Tijeloteksta"/>
              <w:tabs>
                <w:tab w:val="left" w:pos="288"/>
              </w:tabs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ab/>
              <w:t>33.978,44</w:t>
            </w:r>
          </w:p>
        </w:tc>
      </w:tr>
      <w:tr>
        <w:tc>
          <w:tcPr>
            <w:tcW w:w="947" w:type="dxa"/>
          </w:tcPr>
          <w:p>
            <w:pPr>
              <w:pStyle w:val="Tijeloteksta"/>
              <w:numPr>
                <w:ilvl w:val="0"/>
                <w:numId w:val="13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7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Ostali prihodi Proračuna Općine</w:t>
            </w:r>
          </w:p>
        </w:tc>
        <w:tc>
          <w:tcPr>
            <w:tcW w:w="1979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156.085,00</w:t>
            </w:r>
          </w:p>
        </w:tc>
        <w:tc>
          <w:tcPr>
            <w:tcW w:w="1778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-30.742,34</w:t>
            </w:r>
          </w:p>
        </w:tc>
        <w:tc>
          <w:tcPr>
            <w:tcW w:w="1778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125.342,66</w:t>
            </w:r>
          </w:p>
        </w:tc>
      </w:tr>
      <w:tr>
        <w:tc>
          <w:tcPr>
            <w:tcW w:w="947" w:type="dxa"/>
          </w:tcPr>
          <w:p>
            <w:pPr>
              <w:pStyle w:val="Tijeloteksta"/>
              <w:numPr>
                <w:ilvl w:val="0"/>
                <w:numId w:val="13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7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Neutrošena sredstava komunalne naknade iz prethodnih godina</w:t>
            </w:r>
          </w:p>
        </w:tc>
        <w:tc>
          <w:tcPr>
            <w:tcW w:w="1979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17.175,00</w:t>
            </w:r>
          </w:p>
        </w:tc>
        <w:tc>
          <w:tcPr>
            <w:tcW w:w="1778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8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17.175,00</w:t>
            </w:r>
          </w:p>
        </w:tc>
      </w:tr>
      <w:tr>
        <w:tc>
          <w:tcPr>
            <w:tcW w:w="947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873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UKUPNO PRIHODI 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696.758,44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-25.742,34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671.016,10</w:t>
            </w:r>
          </w:p>
        </w:tc>
      </w:tr>
    </w:tbl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Članak 3.</w:t>
      </w:r>
    </w:p>
    <w:p>
      <w:pPr>
        <w:pStyle w:val="box458203"/>
        <w:spacing w:before="0" w:beforeAutospacing="0" w:after="48" w:afterAutospacing="0"/>
        <w:jc w:val="both"/>
        <w:textAlignment w:val="baseline"/>
      </w:pPr>
      <w:bookmarkStart w:id="3" w:name="_Hlk106707702"/>
      <w:r>
        <w:t xml:space="preserve">Članak 4. </w:t>
      </w:r>
      <w:r>
        <w:rPr>
          <w:bCs/>
        </w:rPr>
        <w:t>Programa održavanja komunalne infrastrukture na području Općine Vladislavci za 2022. godinu („Službeni glasnik“ Općine Vladislavci broj 16/21 i 6/22) mijenja se i sada glasi:</w:t>
      </w:r>
    </w:p>
    <w:bookmarkEnd w:id="3"/>
    <w:p>
      <w:pPr>
        <w:pStyle w:val="box458203"/>
        <w:spacing w:before="0" w:beforeAutospacing="0" w:after="48" w:afterAutospacing="0"/>
        <w:jc w:val="both"/>
        <w:textAlignment w:val="baseline"/>
      </w:pPr>
      <w:r>
        <w:t>Održavanje javnih površina na kojima nije dopušten promet motornim vozilima  odnosi se na košenje trave ispred objekata u vlasništvu Općine Vladislavci. Poslove održavanja javnih površina obavljati će posebna organizacijska jedinica u Jedinstvenom upravnom odjelu Općine Vladislavci -Vlastiti komunalni pogon Općine Vladislavci.</w:t>
      </w:r>
    </w:p>
    <w:p>
      <w:pPr>
        <w:pStyle w:val="box458203"/>
        <w:spacing w:before="0" w:beforeAutospacing="0" w:after="48" w:afterAutospacing="0"/>
        <w:jc w:val="both"/>
        <w:textAlignment w:val="baseline"/>
      </w:pPr>
    </w:p>
    <w:p>
      <w:pPr>
        <w:pStyle w:val="Tijeloteksta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Potrebna sredstva za održavanje javnih površina</w:t>
      </w:r>
      <w:r>
        <w:rPr>
          <w:rFonts w:ascii="Times New Roman" w:hAnsi="Times New Roman"/>
          <w:lang w:val="hr-HR"/>
        </w:rPr>
        <w:t xml:space="preserve"> </w:t>
      </w:r>
      <w:r>
        <w:t xml:space="preserve"> </w:t>
      </w:r>
      <w:r>
        <w:rPr>
          <w:rFonts w:ascii="Times New Roman" w:hAnsi="Times New Roman"/>
        </w:rPr>
        <w:t xml:space="preserve">na kojima nije dopušten promet motornim vozilima </w:t>
      </w:r>
      <w:r>
        <w:rPr>
          <w:rFonts w:ascii="Times New Roman" w:hAnsi="Times New Roman"/>
          <w:lang w:val="hr-HR"/>
        </w:rPr>
        <w:t xml:space="preserve"> u iznosu od </w:t>
      </w:r>
      <w:r>
        <w:rPr>
          <w:rFonts w:ascii="Times New Roman" w:hAnsi="Times New Roman"/>
          <w:b/>
          <w:bCs/>
          <w:lang w:val="hr-HR"/>
        </w:rPr>
        <w:t>220.908,40   kuna</w:t>
      </w:r>
      <w:r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</w:rPr>
        <w:t>odnose se na sljedeće:</w:t>
      </w:r>
    </w:p>
    <w:p>
      <w:pPr>
        <w:pStyle w:val="Tijeloteksta"/>
        <w:jc w:val="left"/>
        <w:rPr>
          <w:rFonts w:ascii="Times New Roman" w:hAnsi="Times New Roman"/>
        </w:rPr>
      </w:pPr>
    </w:p>
    <w:tbl>
      <w:tblPr>
        <w:tblStyle w:val="Reetkatablice"/>
        <w:tblW w:w="10155" w:type="dxa"/>
        <w:tblInd w:w="-714" w:type="dxa"/>
        <w:tblLook w:val="04A0" w:firstRow="1" w:lastRow="0" w:firstColumn="1" w:lastColumn="0" w:noHBand="0" w:noVBand="1"/>
      </w:tblPr>
      <w:tblGrid>
        <w:gridCol w:w="845"/>
        <w:gridCol w:w="3956"/>
        <w:gridCol w:w="1883"/>
        <w:gridCol w:w="1750"/>
        <w:gridCol w:w="1721"/>
      </w:tblGrid>
      <w:tr>
        <w:tc>
          <w:tcPr>
            <w:tcW w:w="845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bookmarkStart w:id="4" w:name="_Hlk58501144"/>
            <w:r>
              <w:rPr>
                <w:rFonts w:ascii="Times New Roman" w:hAnsi="Times New Roman"/>
                <w:b/>
                <w:bCs/>
                <w:lang w:val="hr-HR"/>
              </w:rPr>
              <w:t>R.BR.</w:t>
            </w:r>
          </w:p>
        </w:tc>
        <w:tc>
          <w:tcPr>
            <w:tcW w:w="3956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OPIS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IZNOS 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</w:tc>
        <w:tc>
          <w:tcPr>
            <w:tcW w:w="1721" w:type="dxa"/>
            <w:shd w:val="clear" w:color="auto" w:fill="D9D9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</w:tr>
      <w:bookmarkEnd w:id="4"/>
      <w:tr>
        <w:tc>
          <w:tcPr>
            <w:tcW w:w="845" w:type="dxa"/>
          </w:tcPr>
          <w:p>
            <w:pPr>
              <w:pStyle w:val="Tijeloteksta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956" w:type="dxa"/>
          </w:tcPr>
          <w:p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</w:rPr>
              <w:t>plaće radnika komunalnog pogona</w:t>
            </w:r>
            <w:r>
              <w:rPr>
                <w:rFonts w:ascii="Times New Roman" w:hAnsi="Times New Roman"/>
                <w:lang w:val="hr-HR"/>
              </w:rPr>
              <w:t xml:space="preserve">, osiguranja, </w:t>
            </w:r>
          </w:p>
        </w:tc>
        <w:tc>
          <w:tcPr>
            <w:tcW w:w="1883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108.430,00</w:t>
            </w:r>
          </w:p>
        </w:tc>
        <w:tc>
          <w:tcPr>
            <w:tcW w:w="1750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+5.700,00</w:t>
            </w:r>
          </w:p>
        </w:tc>
        <w:tc>
          <w:tcPr>
            <w:tcW w:w="1721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114.130,00</w:t>
            </w:r>
          </w:p>
        </w:tc>
      </w:tr>
      <w:tr>
        <w:tc>
          <w:tcPr>
            <w:tcW w:w="845" w:type="dxa"/>
          </w:tcPr>
          <w:p>
            <w:pPr>
              <w:pStyle w:val="Tijeloteksta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956" w:type="dxa"/>
          </w:tcPr>
          <w:p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</w:rPr>
              <w:t>motorni benzin i dizel gorivo za kosilice</w:t>
            </w:r>
          </w:p>
        </w:tc>
        <w:tc>
          <w:tcPr>
            <w:tcW w:w="1883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35.000,00</w:t>
            </w:r>
          </w:p>
        </w:tc>
        <w:tc>
          <w:tcPr>
            <w:tcW w:w="1750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21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35.000,00</w:t>
            </w:r>
          </w:p>
        </w:tc>
      </w:tr>
      <w:tr>
        <w:tc>
          <w:tcPr>
            <w:tcW w:w="845" w:type="dxa"/>
          </w:tcPr>
          <w:p>
            <w:pPr>
              <w:pStyle w:val="Tijeloteksta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956" w:type="dxa"/>
          </w:tcPr>
          <w:p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</w:rPr>
              <w:t>potrebni alati za rad</w:t>
            </w:r>
          </w:p>
        </w:tc>
        <w:tc>
          <w:tcPr>
            <w:tcW w:w="1883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25.000,00</w:t>
            </w:r>
          </w:p>
        </w:tc>
        <w:tc>
          <w:tcPr>
            <w:tcW w:w="1750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-2.000,00</w:t>
            </w:r>
          </w:p>
        </w:tc>
        <w:tc>
          <w:tcPr>
            <w:tcW w:w="1721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23.000,00</w:t>
            </w:r>
          </w:p>
        </w:tc>
      </w:tr>
      <w:tr>
        <w:tc>
          <w:tcPr>
            <w:tcW w:w="845" w:type="dxa"/>
          </w:tcPr>
          <w:p>
            <w:pPr>
              <w:pStyle w:val="Tijeloteksta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956" w:type="dxa"/>
          </w:tcPr>
          <w:p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servis opreme i alata </w:t>
            </w:r>
          </w:p>
        </w:tc>
        <w:tc>
          <w:tcPr>
            <w:tcW w:w="1883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3.000,00</w:t>
            </w:r>
          </w:p>
        </w:tc>
        <w:tc>
          <w:tcPr>
            <w:tcW w:w="1750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21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3.000,00</w:t>
            </w:r>
          </w:p>
        </w:tc>
      </w:tr>
      <w:tr>
        <w:tc>
          <w:tcPr>
            <w:tcW w:w="845" w:type="dxa"/>
          </w:tcPr>
          <w:p>
            <w:pPr>
              <w:pStyle w:val="Tijeloteksta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956" w:type="dxa"/>
          </w:tcPr>
          <w:p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Službena radna zaštitna odjeća i obuća</w:t>
            </w:r>
          </w:p>
        </w:tc>
        <w:tc>
          <w:tcPr>
            <w:tcW w:w="1883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7.000,00</w:t>
            </w:r>
          </w:p>
        </w:tc>
        <w:tc>
          <w:tcPr>
            <w:tcW w:w="1750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21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7.000,00</w:t>
            </w:r>
          </w:p>
        </w:tc>
      </w:tr>
      <w:tr>
        <w:tc>
          <w:tcPr>
            <w:tcW w:w="845" w:type="dxa"/>
          </w:tcPr>
          <w:p>
            <w:pPr>
              <w:pStyle w:val="Tijeloteksta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956" w:type="dxa"/>
          </w:tcPr>
          <w:p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Plaće, troškovi zaštite na radu i liječnički pregledi zaposlenih u Programu javnih radova</w:t>
            </w:r>
          </w:p>
        </w:tc>
        <w:tc>
          <w:tcPr>
            <w:tcW w:w="1883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38.778,44</w:t>
            </w:r>
          </w:p>
        </w:tc>
        <w:tc>
          <w:tcPr>
            <w:tcW w:w="1750" w:type="dxa"/>
          </w:tcPr>
          <w:p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21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38.778,44</w:t>
            </w:r>
          </w:p>
        </w:tc>
      </w:tr>
      <w:tr>
        <w:tc>
          <w:tcPr>
            <w:tcW w:w="845" w:type="dxa"/>
            <w:shd w:val="clear" w:color="auto" w:fill="D9D9D9" w:themeFill="background1" w:themeFillShade="D9"/>
          </w:tcPr>
          <w:p>
            <w:pPr>
              <w:pStyle w:val="Tijeloteksta"/>
              <w:ind w:left="720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3956" w:type="dxa"/>
            <w:shd w:val="clear" w:color="auto" w:fill="D9D9D9" w:themeFill="background1" w:themeFillShade="D9"/>
          </w:tcPr>
          <w:p>
            <w:pPr>
              <w:pStyle w:val="Tijeloteksta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UKUPNO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217.208,44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+3.700,00</w:t>
            </w:r>
          </w:p>
        </w:tc>
        <w:tc>
          <w:tcPr>
            <w:tcW w:w="1721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220.908,40</w:t>
            </w:r>
          </w:p>
        </w:tc>
      </w:tr>
    </w:tbl>
    <w:p>
      <w:pPr>
        <w:pStyle w:val="Tijeloteksta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</w:p>
    <w:p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hr-HR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hr-HR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</w:rPr>
        <w:t xml:space="preserve">Članak </w:t>
      </w:r>
      <w:r>
        <w:rPr>
          <w:rFonts w:ascii="Times New Roman" w:hAnsi="Times New Roman"/>
          <w:b/>
          <w:lang w:val="hr-HR"/>
        </w:rPr>
        <w:t xml:space="preserve">4. </w:t>
      </w:r>
    </w:p>
    <w:p>
      <w:pPr>
        <w:pStyle w:val="box458203"/>
        <w:spacing w:before="0" w:beforeAutospacing="0" w:after="48" w:afterAutospacing="0"/>
        <w:jc w:val="both"/>
        <w:textAlignment w:val="baseline"/>
      </w:pPr>
      <w:bookmarkStart w:id="5" w:name="_Hlk106712431"/>
      <w:r>
        <w:t xml:space="preserve">Članak 6. </w:t>
      </w:r>
      <w:r>
        <w:rPr>
          <w:bCs/>
        </w:rPr>
        <w:t>Programa održavanja komunalne infrastrukture na području Općine Vladislavci za 2022. godinu („Službeni glasnik“ Općine Vladislavci broj 16/21,  6/22 i 11/22) mijenja se i sada glasi:</w:t>
      </w:r>
    </w:p>
    <w:p>
      <w:pPr>
        <w:pStyle w:val="Tijeloteksta"/>
        <w:jc w:val="center"/>
        <w:rPr>
          <w:rFonts w:ascii="Times New Roman" w:hAnsi="Times New Roman"/>
          <w:b/>
        </w:rPr>
      </w:pPr>
    </w:p>
    <w:bookmarkEnd w:id="5"/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>Poslov</w:t>
      </w:r>
      <w:r>
        <w:rPr>
          <w:rFonts w:ascii="Times New Roman" w:hAnsi="Times New Roman"/>
          <w:lang w:val="hr-HR"/>
        </w:rPr>
        <w:t>i</w:t>
      </w:r>
      <w:r>
        <w:rPr>
          <w:rFonts w:ascii="Times New Roman" w:hAnsi="Times New Roman"/>
        </w:rPr>
        <w:t xml:space="preserve"> održavanja groblja </w:t>
      </w:r>
      <w:r>
        <w:rPr>
          <w:rFonts w:ascii="Times New Roman" w:hAnsi="Times New Roman"/>
          <w:shd w:val="clear" w:color="auto" w:fill="FFFFFF"/>
          <w:lang w:val="hr-HR"/>
        </w:rPr>
        <w:t xml:space="preserve">obuhvaćaju </w:t>
      </w:r>
      <w:r>
        <w:rPr>
          <w:rFonts w:ascii="Times New Roman" w:hAnsi="Times New Roman"/>
          <w:shd w:val="clear" w:color="auto" w:fill="FFFFFF"/>
        </w:rPr>
        <w:t>uređivanje putova, zelenih i drugih površina unutar groblja</w:t>
      </w:r>
      <w:r>
        <w:rPr>
          <w:rFonts w:ascii="Times New Roman" w:hAnsi="Times New Roman"/>
          <w:shd w:val="clear" w:color="auto" w:fill="FFFFFF"/>
          <w:lang w:val="hr-HR"/>
        </w:rPr>
        <w:t xml:space="preserve"> u Vladislavcima, Dopsinu i Hrastinu. </w:t>
      </w:r>
    </w:p>
    <w:p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Poslov</w:t>
      </w:r>
      <w:r>
        <w:rPr>
          <w:rFonts w:ascii="Times New Roman" w:hAnsi="Times New Roman"/>
          <w:lang w:val="hr-HR"/>
        </w:rPr>
        <w:t xml:space="preserve">e </w:t>
      </w:r>
      <w:r>
        <w:rPr>
          <w:rFonts w:ascii="Times New Roman" w:hAnsi="Times New Roman"/>
        </w:rPr>
        <w:t>održavanja groblja obavljat će trgovačko društvo Komunalac Čepin d.o.o.</w:t>
      </w:r>
      <w:r>
        <w:rPr>
          <w:rFonts w:ascii="Times New Roman" w:hAnsi="Times New Roman"/>
          <w:lang w:val="hr-HR"/>
        </w:rPr>
        <w:t xml:space="preserve">, trgovačko društvo </w:t>
      </w:r>
      <w:r>
        <w:rPr>
          <w:rFonts w:ascii="Times New Roman" w:hAnsi="Times New Roman"/>
        </w:rPr>
        <w:t xml:space="preserve"> u suvlasništvu Općine Vladislavci.</w:t>
      </w:r>
    </w:p>
    <w:p>
      <w:pPr>
        <w:pStyle w:val="Tijeloteksta"/>
        <w:jc w:val="left"/>
        <w:rPr>
          <w:rFonts w:ascii="Times New Roman" w:hAnsi="Times New Roman"/>
        </w:rPr>
      </w:pP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Potrebna sredstava za održavanje groblja planirana su Proračunom Općine Vladislavci za 2022. godinu u iznosu od 90.000,00 kuna. </w:t>
      </w:r>
    </w:p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</w:rPr>
        <w:t xml:space="preserve">Članak </w:t>
      </w:r>
      <w:r>
        <w:rPr>
          <w:rFonts w:ascii="Times New Roman" w:hAnsi="Times New Roman"/>
          <w:b/>
          <w:lang w:val="hr-HR"/>
        </w:rPr>
        <w:t xml:space="preserve">5. </w:t>
      </w:r>
    </w:p>
    <w:p>
      <w:pPr>
        <w:pStyle w:val="box458203"/>
        <w:spacing w:before="0" w:beforeAutospacing="0" w:after="48" w:afterAutospacing="0"/>
        <w:jc w:val="both"/>
        <w:textAlignment w:val="baseline"/>
      </w:pPr>
      <w:r>
        <w:t xml:space="preserve">Članak 7. </w:t>
      </w:r>
      <w:r>
        <w:rPr>
          <w:bCs/>
        </w:rPr>
        <w:t>Programa održavanja komunalne infrastrukture na području Općine Vladislavci za 2022. godinu („Službeni glasnik“ Općine Vladislavci broj 16/21,  6/22 i 11/22) mijenja se i sada glasi:</w:t>
      </w:r>
    </w:p>
    <w:p>
      <w:pPr>
        <w:pStyle w:val="Tijeloteksta"/>
        <w:jc w:val="center"/>
        <w:rPr>
          <w:rFonts w:ascii="Times New Roman" w:hAnsi="Times New Roman"/>
          <w:b/>
        </w:rPr>
      </w:pPr>
    </w:p>
    <w:p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Održavanje javne rasvjete odnosi se na osiguranje potrebnih sredstava za održavanje rasvjetnih tijela na području Općine i utrošenu električnu energiju za javnu rasvjetu prema ispostavljenim računima </w:t>
      </w:r>
      <w:r>
        <w:rPr>
          <w:rFonts w:ascii="Times New Roman" w:hAnsi="Times New Roman"/>
          <w:lang w:val="hr-HR"/>
        </w:rPr>
        <w:t>distributera</w:t>
      </w:r>
      <w:r>
        <w:rPr>
          <w:rFonts w:ascii="Times New Roman" w:hAnsi="Times New Roman"/>
        </w:rPr>
        <w:t>.</w:t>
      </w:r>
    </w:p>
    <w:p>
      <w:pPr>
        <w:pStyle w:val="Tijeloteksta"/>
        <w:jc w:val="left"/>
        <w:rPr>
          <w:rFonts w:ascii="Times New Roman" w:hAnsi="Times New Roman"/>
        </w:rPr>
      </w:pPr>
    </w:p>
    <w:p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>Javna rasvjeta se održava u sljedećim naseljima:</w:t>
      </w:r>
    </w:p>
    <w:p>
      <w:pPr>
        <w:pStyle w:val="Tijeloteksta"/>
        <w:jc w:val="left"/>
        <w:rPr>
          <w:rFonts w:ascii="Times New Roman" w:hAnsi="Times New Roman"/>
          <w:lang w:val="hr-HR"/>
        </w:rPr>
      </w:pPr>
    </w:p>
    <w:p>
      <w:pPr>
        <w:pStyle w:val="Tijeloteksta"/>
        <w:numPr>
          <w:ilvl w:val="0"/>
          <w:numId w:val="6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javna rasvjeta u naselju </w:t>
      </w:r>
      <w:proofErr w:type="spellStart"/>
      <w:r>
        <w:rPr>
          <w:rFonts w:ascii="Times New Roman" w:hAnsi="Times New Roman"/>
        </w:rPr>
        <w:t>Vladisl</w:t>
      </w:r>
      <w:r>
        <w:rPr>
          <w:rFonts w:ascii="Times New Roman" w:hAnsi="Times New Roman"/>
          <w:lang w:val="hr-HR"/>
        </w:rPr>
        <w:t>a</w:t>
      </w:r>
      <w:r>
        <w:rPr>
          <w:rFonts w:ascii="Times New Roman" w:hAnsi="Times New Roman"/>
        </w:rPr>
        <w:t>vci</w:t>
      </w:r>
      <w:proofErr w:type="spellEnd"/>
      <w:r>
        <w:rPr>
          <w:rFonts w:ascii="Times New Roman" w:hAnsi="Times New Roman"/>
        </w:rPr>
        <w:t xml:space="preserve"> u ulicama K. Tomislava, P. Svačića, K. Zvonimira, Športska, E. Kiša, K.P. </w:t>
      </w:r>
      <w:r>
        <w:rPr>
          <w:rFonts w:ascii="Times New Roman" w:hAnsi="Times New Roman"/>
          <w:lang w:val="hr-HR"/>
        </w:rPr>
        <w:t>K</w:t>
      </w:r>
      <w:proofErr w:type="spellStart"/>
      <w:r>
        <w:rPr>
          <w:rFonts w:ascii="Times New Roman" w:hAnsi="Times New Roman"/>
        </w:rPr>
        <w:t>rešimiva</w:t>
      </w:r>
      <w:proofErr w:type="spellEnd"/>
      <w:r>
        <w:rPr>
          <w:rFonts w:ascii="Times New Roman" w:hAnsi="Times New Roman"/>
        </w:rPr>
        <w:t xml:space="preserve"> I</w:t>
      </w:r>
      <w:r>
        <w:rPr>
          <w:rFonts w:ascii="Times New Roman" w:hAnsi="Times New Roman"/>
          <w:lang w:val="hr-HR"/>
        </w:rPr>
        <w:t>V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Kudeljara</w:t>
      </w:r>
      <w:proofErr w:type="spellEnd"/>
      <w:r>
        <w:rPr>
          <w:rFonts w:ascii="Times New Roman" w:hAnsi="Times New Roman"/>
        </w:rPr>
        <w:t xml:space="preserve"> i Ciglana</w:t>
      </w:r>
    </w:p>
    <w:p>
      <w:pPr>
        <w:pStyle w:val="Tijeloteksta"/>
        <w:numPr>
          <w:ilvl w:val="0"/>
          <w:numId w:val="6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javna rasvjeta u naselju Dopsin u ulicama J. J. Strossmayera i Sv. Ivana</w:t>
      </w:r>
    </w:p>
    <w:p>
      <w:pPr>
        <w:pStyle w:val="Tijeloteksta"/>
        <w:numPr>
          <w:ilvl w:val="0"/>
          <w:numId w:val="6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javna rasvjeta u naselju Hrastin u ulicama Š. Petefija, F. Kiša,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Nikole Šubića Zrinskoga </w:t>
      </w:r>
    </w:p>
    <w:p>
      <w:pPr>
        <w:pStyle w:val="Tijeloteksta"/>
        <w:jc w:val="left"/>
        <w:rPr>
          <w:rFonts w:ascii="Times New Roman" w:hAnsi="Times New Roman"/>
        </w:rPr>
      </w:pPr>
    </w:p>
    <w:p>
      <w:pPr>
        <w:pStyle w:val="Tijeloteksta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Potrebna sredstva za gore navedenu aktivnosti planirani u Proračunu za 20</w:t>
      </w:r>
      <w:r>
        <w:rPr>
          <w:rFonts w:ascii="Times New Roman" w:hAnsi="Times New Roman"/>
          <w:lang w:val="hr-HR"/>
        </w:rPr>
        <w:t>22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hr-HR"/>
        </w:rPr>
        <w:t>g</w:t>
      </w:r>
      <w:proofErr w:type="spellStart"/>
      <w:r>
        <w:rPr>
          <w:rFonts w:ascii="Times New Roman" w:hAnsi="Times New Roman"/>
        </w:rPr>
        <w:t>odinu</w:t>
      </w:r>
      <w:proofErr w:type="spellEnd"/>
      <w:r>
        <w:rPr>
          <w:rFonts w:ascii="Times New Roman" w:hAnsi="Times New Roman"/>
        </w:rPr>
        <w:t xml:space="preserve"> iznose:</w:t>
      </w:r>
    </w:p>
    <w:p>
      <w:pPr>
        <w:pStyle w:val="Tijeloteksta"/>
        <w:jc w:val="left"/>
        <w:rPr>
          <w:rFonts w:ascii="Times New Roman" w:hAnsi="Times New Roman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846"/>
        <w:gridCol w:w="6095"/>
        <w:gridCol w:w="2693"/>
      </w:tblGrid>
      <w:tr>
        <w:tc>
          <w:tcPr>
            <w:tcW w:w="846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R.BR.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OPIS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IZNOS 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</w:tr>
      <w:tr>
        <w:tc>
          <w:tcPr>
            <w:tcW w:w="846" w:type="dxa"/>
          </w:tcPr>
          <w:p>
            <w:pPr>
              <w:pStyle w:val="Tijeloteksta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095" w:type="dxa"/>
          </w:tcPr>
          <w:p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</w:rPr>
              <w:t>održavanje javne rasvjete</w:t>
            </w:r>
          </w:p>
        </w:tc>
        <w:tc>
          <w:tcPr>
            <w:tcW w:w="2693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75.550,00</w:t>
            </w:r>
          </w:p>
        </w:tc>
      </w:tr>
      <w:tr>
        <w:tc>
          <w:tcPr>
            <w:tcW w:w="846" w:type="dxa"/>
          </w:tcPr>
          <w:p>
            <w:pPr>
              <w:pStyle w:val="Tijeloteksta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095" w:type="dxa"/>
          </w:tcPr>
          <w:p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</w:rPr>
              <w:t>utrošak električne energije</w:t>
            </w:r>
          </w:p>
        </w:tc>
        <w:tc>
          <w:tcPr>
            <w:tcW w:w="2693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135.000,00</w:t>
            </w:r>
          </w:p>
        </w:tc>
      </w:tr>
      <w:tr>
        <w:tc>
          <w:tcPr>
            <w:tcW w:w="846" w:type="dxa"/>
            <w:shd w:val="clear" w:color="auto" w:fill="D9D9D9" w:themeFill="background1" w:themeFillShade="D9"/>
          </w:tcPr>
          <w:p>
            <w:pPr>
              <w:pStyle w:val="Tijeloteksta"/>
              <w:ind w:left="720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>
            <w:pPr>
              <w:pStyle w:val="Tijeloteksta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UKUPNO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210.550,00</w:t>
            </w:r>
          </w:p>
        </w:tc>
      </w:tr>
    </w:tbl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Članak 6.</w:t>
      </w:r>
    </w:p>
    <w:p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Članak 9. Programa održavanja komunalne infrastrukture na području Općine Vladislavci za 2022. godinu („Službeni glasnik“ Općine Vladislavci broj 16/21,  6/22 i 11/22) mijenja se i sada glasi:</w:t>
      </w: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„Utvrđuje se slijedeća rekapitulacija Programa: </w:t>
      </w:r>
    </w:p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numPr>
          <w:ilvl w:val="0"/>
          <w:numId w:val="10"/>
        </w:num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lastRenderedPageBreak/>
        <w:t>PRIHODI</w:t>
      </w:r>
    </w:p>
    <w:p>
      <w:pPr>
        <w:pStyle w:val="Tijeloteksta"/>
        <w:ind w:left="1080"/>
        <w:rPr>
          <w:rFonts w:ascii="Times New Roman" w:hAnsi="Times New Roman"/>
          <w:b/>
          <w:lang w:val="hr-HR"/>
        </w:rPr>
      </w:pPr>
    </w:p>
    <w:tbl>
      <w:tblPr>
        <w:tblW w:w="1035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873"/>
        <w:gridCol w:w="1979"/>
        <w:gridCol w:w="1778"/>
        <w:gridCol w:w="1778"/>
      </w:tblGrid>
      <w:tr>
        <w:tc>
          <w:tcPr>
            <w:tcW w:w="947" w:type="dxa"/>
            <w:shd w:val="clear" w:color="auto" w:fill="D9D9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3873" w:type="dxa"/>
            <w:shd w:val="clear" w:color="auto" w:fill="D9D9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VRSTA PRIHODA</w:t>
            </w:r>
          </w:p>
        </w:tc>
        <w:tc>
          <w:tcPr>
            <w:tcW w:w="1979" w:type="dxa"/>
            <w:shd w:val="clear" w:color="auto" w:fill="D9D9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IZNOS 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  <w:tc>
          <w:tcPr>
            <w:tcW w:w="1778" w:type="dxa"/>
            <w:shd w:val="clear" w:color="auto" w:fill="D9D9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</w:tc>
        <w:tc>
          <w:tcPr>
            <w:tcW w:w="1778" w:type="dxa"/>
            <w:shd w:val="clear" w:color="auto" w:fill="D9D9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</w:tr>
      <w:tr>
        <w:tc>
          <w:tcPr>
            <w:tcW w:w="947" w:type="dxa"/>
            <w:shd w:val="clear" w:color="auto" w:fill="auto"/>
          </w:tcPr>
          <w:p>
            <w:pPr>
              <w:pStyle w:val="Tijeloteksta"/>
              <w:numPr>
                <w:ilvl w:val="0"/>
                <w:numId w:val="16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73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Prihodi od komunalne naknade </w:t>
            </w:r>
          </w:p>
        </w:tc>
        <w:tc>
          <w:tcPr>
            <w:tcW w:w="1979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398.520,00</w:t>
            </w:r>
          </w:p>
        </w:tc>
        <w:tc>
          <w:tcPr>
            <w:tcW w:w="1778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-1.000,00</w:t>
            </w:r>
          </w:p>
        </w:tc>
        <w:tc>
          <w:tcPr>
            <w:tcW w:w="1778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397.520,00</w:t>
            </w:r>
          </w:p>
        </w:tc>
      </w:tr>
      <w:tr>
        <w:tc>
          <w:tcPr>
            <w:tcW w:w="947" w:type="dxa"/>
          </w:tcPr>
          <w:p>
            <w:pPr>
              <w:pStyle w:val="Tijeloteksta"/>
              <w:numPr>
                <w:ilvl w:val="0"/>
                <w:numId w:val="16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73" w:type="dxa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lang w:val="hr-HR"/>
              </w:rPr>
              <w:t xml:space="preserve">rihodi od grobne naknade 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79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91.000,00</w:t>
            </w:r>
          </w:p>
        </w:tc>
        <w:tc>
          <w:tcPr>
            <w:tcW w:w="1778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+6.000,00</w:t>
            </w:r>
          </w:p>
        </w:tc>
        <w:tc>
          <w:tcPr>
            <w:tcW w:w="1778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97.000,00</w:t>
            </w:r>
          </w:p>
        </w:tc>
      </w:tr>
      <w:tr>
        <w:tc>
          <w:tcPr>
            <w:tcW w:w="947" w:type="dxa"/>
          </w:tcPr>
          <w:p>
            <w:pPr>
              <w:pStyle w:val="Tijeloteksta"/>
              <w:numPr>
                <w:ilvl w:val="0"/>
                <w:numId w:val="16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7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tekuće pomoći od HZZ za program javnih radova</w:t>
            </w:r>
          </w:p>
        </w:tc>
        <w:tc>
          <w:tcPr>
            <w:tcW w:w="1979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33.978,44</w:t>
            </w:r>
          </w:p>
        </w:tc>
        <w:tc>
          <w:tcPr>
            <w:tcW w:w="1778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8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33.978,44</w:t>
            </w:r>
          </w:p>
        </w:tc>
      </w:tr>
      <w:tr>
        <w:tc>
          <w:tcPr>
            <w:tcW w:w="947" w:type="dxa"/>
          </w:tcPr>
          <w:p>
            <w:pPr>
              <w:pStyle w:val="Tijeloteksta"/>
              <w:numPr>
                <w:ilvl w:val="0"/>
                <w:numId w:val="16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7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Ostali prihodi Proračuna Općine</w:t>
            </w:r>
          </w:p>
        </w:tc>
        <w:tc>
          <w:tcPr>
            <w:tcW w:w="1979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156.085,00</w:t>
            </w:r>
          </w:p>
        </w:tc>
        <w:tc>
          <w:tcPr>
            <w:tcW w:w="1778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-30.742,34</w:t>
            </w:r>
          </w:p>
        </w:tc>
        <w:tc>
          <w:tcPr>
            <w:tcW w:w="1778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125.342,66</w:t>
            </w:r>
          </w:p>
        </w:tc>
      </w:tr>
      <w:tr>
        <w:tc>
          <w:tcPr>
            <w:tcW w:w="947" w:type="dxa"/>
          </w:tcPr>
          <w:p>
            <w:pPr>
              <w:pStyle w:val="Tijeloteksta"/>
              <w:numPr>
                <w:ilvl w:val="0"/>
                <w:numId w:val="16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7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Neutrošena sredstava komunalne naknade iz prethodnih godina</w:t>
            </w:r>
          </w:p>
        </w:tc>
        <w:tc>
          <w:tcPr>
            <w:tcW w:w="1979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17.175,00</w:t>
            </w:r>
          </w:p>
        </w:tc>
        <w:tc>
          <w:tcPr>
            <w:tcW w:w="1778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8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17.175,00</w:t>
            </w:r>
          </w:p>
        </w:tc>
      </w:tr>
      <w:tr>
        <w:tc>
          <w:tcPr>
            <w:tcW w:w="947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873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UKUPNO PRIHODI 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696.758,44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-25.742,34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671.016,10</w:t>
            </w:r>
          </w:p>
        </w:tc>
      </w:tr>
    </w:tbl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numPr>
          <w:ilvl w:val="0"/>
          <w:numId w:val="10"/>
        </w:num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RASHODI: </w:t>
      </w:r>
    </w:p>
    <w:p>
      <w:pPr>
        <w:pStyle w:val="Tijeloteksta"/>
        <w:ind w:left="1080"/>
        <w:rPr>
          <w:rFonts w:ascii="Times New Roman" w:hAnsi="Times New Roman"/>
          <w:lang w:val="hr-HR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971"/>
        <w:gridCol w:w="1859"/>
        <w:gridCol w:w="1750"/>
        <w:gridCol w:w="1775"/>
      </w:tblGrid>
      <w:tr>
        <w:tc>
          <w:tcPr>
            <w:tcW w:w="993" w:type="dxa"/>
            <w:shd w:val="clear" w:color="auto" w:fill="D9D9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bookmarkStart w:id="6" w:name="_Hlk90463419"/>
            <w:r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3971" w:type="dxa"/>
            <w:shd w:val="clear" w:color="auto" w:fill="D9D9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VRSTA RASHODA</w:t>
            </w:r>
          </w:p>
        </w:tc>
        <w:tc>
          <w:tcPr>
            <w:tcW w:w="1859" w:type="dxa"/>
            <w:shd w:val="clear" w:color="auto" w:fill="D9D9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IZNOS 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</w:tc>
        <w:tc>
          <w:tcPr>
            <w:tcW w:w="1775" w:type="dxa"/>
            <w:shd w:val="clear" w:color="auto" w:fill="D9D9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</w:tr>
      <w:tr>
        <w:tc>
          <w:tcPr>
            <w:tcW w:w="993" w:type="dxa"/>
            <w:shd w:val="clear" w:color="auto" w:fill="D9D9D9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bookmarkStart w:id="7" w:name="_Hlk89251057"/>
            <w:bookmarkEnd w:id="6"/>
            <w:r>
              <w:rPr>
                <w:rFonts w:ascii="Times New Roman" w:hAnsi="Times New Roman"/>
                <w:lang w:val="hr-HR"/>
              </w:rPr>
              <w:t>I.</w:t>
            </w:r>
          </w:p>
        </w:tc>
        <w:tc>
          <w:tcPr>
            <w:tcW w:w="3971" w:type="dxa"/>
            <w:shd w:val="clear" w:color="auto" w:fill="D9D9D9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ODRŽAVANJE NERAZVRSTANIH CESTA</w:t>
            </w:r>
          </w:p>
        </w:tc>
        <w:tc>
          <w:tcPr>
            <w:tcW w:w="1859" w:type="dxa"/>
            <w:shd w:val="clear" w:color="auto" w:fill="D9D9D9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50" w:type="dxa"/>
            <w:shd w:val="clear" w:color="auto" w:fill="D9D9D9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75" w:type="dxa"/>
            <w:shd w:val="clear" w:color="auto" w:fill="D9D9D9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bookmarkEnd w:id="7"/>
      <w:tr>
        <w:tc>
          <w:tcPr>
            <w:tcW w:w="993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3971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Zimsko održavanje nerazvrstanih cesta</w:t>
            </w:r>
          </w:p>
        </w:tc>
        <w:tc>
          <w:tcPr>
            <w:tcW w:w="1859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  <w:tc>
          <w:tcPr>
            <w:tcW w:w="1750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-8.750,00</w:t>
            </w:r>
          </w:p>
        </w:tc>
        <w:tc>
          <w:tcPr>
            <w:tcW w:w="1775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1.250,00</w:t>
            </w:r>
          </w:p>
        </w:tc>
      </w:tr>
      <w:tr>
        <w:tc>
          <w:tcPr>
            <w:tcW w:w="993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971" w:type="dxa"/>
            <w:shd w:val="clear" w:color="auto" w:fill="FFFF00"/>
          </w:tcPr>
          <w:p>
            <w:pPr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UKUPNO I</w:t>
            </w:r>
          </w:p>
        </w:tc>
        <w:tc>
          <w:tcPr>
            <w:tcW w:w="1859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10.000,00</w:t>
            </w:r>
          </w:p>
        </w:tc>
        <w:tc>
          <w:tcPr>
            <w:tcW w:w="1750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-8.750,00</w:t>
            </w:r>
          </w:p>
        </w:tc>
        <w:tc>
          <w:tcPr>
            <w:tcW w:w="1775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1.250,00</w:t>
            </w:r>
          </w:p>
        </w:tc>
      </w:tr>
      <w:t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II.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ODRŽAVANJE JAVNIH POVRŠINA NA KOJIMA NIJE DOPUŠTEN PROMET MOTORNIM VOZILIMA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>
        <w:tc>
          <w:tcPr>
            <w:tcW w:w="99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3971" w:type="dxa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plaće radnika komunalnog pogona</w:t>
            </w:r>
            <w:r>
              <w:rPr>
                <w:rFonts w:ascii="Times New Roman" w:hAnsi="Times New Roman"/>
                <w:lang w:val="hr-HR"/>
              </w:rPr>
              <w:t xml:space="preserve">, osiguranja, </w:t>
            </w:r>
          </w:p>
        </w:tc>
        <w:tc>
          <w:tcPr>
            <w:tcW w:w="1859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108.430,00</w:t>
            </w:r>
          </w:p>
        </w:tc>
        <w:tc>
          <w:tcPr>
            <w:tcW w:w="1750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+5.700,00</w:t>
            </w:r>
          </w:p>
        </w:tc>
        <w:tc>
          <w:tcPr>
            <w:tcW w:w="1775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114.130,00</w:t>
            </w:r>
          </w:p>
        </w:tc>
      </w:tr>
      <w:tr>
        <w:tc>
          <w:tcPr>
            <w:tcW w:w="99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3971" w:type="dxa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motorni benzin i dizel gorivo za kosilice</w:t>
            </w:r>
          </w:p>
        </w:tc>
        <w:tc>
          <w:tcPr>
            <w:tcW w:w="1859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35.000,00</w:t>
            </w:r>
          </w:p>
        </w:tc>
        <w:tc>
          <w:tcPr>
            <w:tcW w:w="1750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35.000,00</w:t>
            </w:r>
          </w:p>
        </w:tc>
      </w:tr>
      <w:tr>
        <w:tc>
          <w:tcPr>
            <w:tcW w:w="99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3971" w:type="dxa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potrebni alati za rad</w:t>
            </w:r>
          </w:p>
        </w:tc>
        <w:tc>
          <w:tcPr>
            <w:tcW w:w="1859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25.000,00</w:t>
            </w:r>
          </w:p>
        </w:tc>
        <w:tc>
          <w:tcPr>
            <w:tcW w:w="1750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-2.000,00</w:t>
            </w:r>
          </w:p>
        </w:tc>
        <w:tc>
          <w:tcPr>
            <w:tcW w:w="1775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23.000,00</w:t>
            </w:r>
          </w:p>
        </w:tc>
      </w:tr>
      <w:tr>
        <w:tc>
          <w:tcPr>
            <w:tcW w:w="99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3971" w:type="dxa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hr-HR"/>
              </w:rPr>
              <w:t xml:space="preserve">servis opreme i alata </w:t>
            </w:r>
          </w:p>
        </w:tc>
        <w:tc>
          <w:tcPr>
            <w:tcW w:w="1859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3.000,00</w:t>
            </w:r>
          </w:p>
        </w:tc>
        <w:tc>
          <w:tcPr>
            <w:tcW w:w="1750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3.000,00</w:t>
            </w:r>
          </w:p>
        </w:tc>
      </w:tr>
      <w:tr>
        <w:tc>
          <w:tcPr>
            <w:tcW w:w="99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</w:t>
            </w:r>
          </w:p>
        </w:tc>
        <w:tc>
          <w:tcPr>
            <w:tcW w:w="3971" w:type="dxa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hr-HR"/>
              </w:rPr>
              <w:t>Službena radna zaštitna odjeća i obuća</w:t>
            </w:r>
          </w:p>
        </w:tc>
        <w:tc>
          <w:tcPr>
            <w:tcW w:w="1859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7.000,00</w:t>
            </w:r>
          </w:p>
        </w:tc>
        <w:tc>
          <w:tcPr>
            <w:tcW w:w="1750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7.000,00</w:t>
            </w:r>
          </w:p>
        </w:tc>
      </w:tr>
      <w:tr>
        <w:tc>
          <w:tcPr>
            <w:tcW w:w="99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6.</w:t>
            </w:r>
          </w:p>
        </w:tc>
        <w:tc>
          <w:tcPr>
            <w:tcW w:w="3971" w:type="dxa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hr-HR"/>
              </w:rPr>
              <w:t>Plaće, troškovi zaštite na radu i liječnički pregledi zaposlenih u Programu javnih radova</w:t>
            </w:r>
          </w:p>
        </w:tc>
        <w:tc>
          <w:tcPr>
            <w:tcW w:w="1859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38.778,44</w:t>
            </w:r>
          </w:p>
        </w:tc>
        <w:tc>
          <w:tcPr>
            <w:tcW w:w="1750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38.778,44</w:t>
            </w:r>
          </w:p>
        </w:tc>
      </w:tr>
      <w:tr>
        <w:tc>
          <w:tcPr>
            <w:tcW w:w="993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bookmarkStart w:id="8" w:name="_Hlk89251040"/>
          </w:p>
        </w:tc>
        <w:tc>
          <w:tcPr>
            <w:tcW w:w="3971" w:type="dxa"/>
            <w:shd w:val="clear" w:color="auto" w:fill="FFFF00"/>
          </w:tcPr>
          <w:p>
            <w:pPr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UKUPNO II</w:t>
            </w:r>
          </w:p>
        </w:tc>
        <w:tc>
          <w:tcPr>
            <w:tcW w:w="1859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217.208,44</w:t>
            </w:r>
          </w:p>
        </w:tc>
        <w:tc>
          <w:tcPr>
            <w:tcW w:w="1750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+3.700,00</w:t>
            </w:r>
          </w:p>
        </w:tc>
        <w:tc>
          <w:tcPr>
            <w:tcW w:w="1775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220.908,44</w:t>
            </w:r>
          </w:p>
        </w:tc>
      </w:tr>
      <w:bookmarkEnd w:id="8"/>
      <w:tr>
        <w:tc>
          <w:tcPr>
            <w:tcW w:w="993" w:type="dxa"/>
            <w:shd w:val="clear" w:color="auto" w:fill="D9D9D9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III.</w:t>
            </w:r>
          </w:p>
        </w:tc>
        <w:tc>
          <w:tcPr>
            <w:tcW w:w="3971" w:type="dxa"/>
            <w:shd w:val="clear" w:color="auto" w:fill="D9D9D9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ODRŽAVANJE JAVNIH ZELENIH POVRŠINA</w:t>
            </w:r>
          </w:p>
        </w:tc>
        <w:tc>
          <w:tcPr>
            <w:tcW w:w="1859" w:type="dxa"/>
            <w:shd w:val="clear" w:color="auto" w:fill="D9D9D9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50" w:type="dxa"/>
            <w:shd w:val="clear" w:color="auto" w:fill="D9D9D9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75" w:type="dxa"/>
            <w:shd w:val="clear" w:color="auto" w:fill="D9D9D9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>
        <w:tc>
          <w:tcPr>
            <w:tcW w:w="993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3971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Održavanje javnih zelenih površina</w:t>
            </w:r>
          </w:p>
        </w:tc>
        <w:tc>
          <w:tcPr>
            <w:tcW w:w="1859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179.000,00</w:t>
            </w:r>
          </w:p>
        </w:tc>
        <w:tc>
          <w:tcPr>
            <w:tcW w:w="1750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-30.692,24</w:t>
            </w:r>
          </w:p>
        </w:tc>
        <w:tc>
          <w:tcPr>
            <w:tcW w:w="1775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148.307,76</w:t>
            </w:r>
          </w:p>
        </w:tc>
      </w:tr>
      <w:tr>
        <w:tc>
          <w:tcPr>
            <w:tcW w:w="993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971" w:type="dxa"/>
            <w:shd w:val="clear" w:color="auto" w:fill="FFFF00"/>
          </w:tcPr>
          <w:p>
            <w:pPr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UKUPNO III</w:t>
            </w:r>
          </w:p>
        </w:tc>
        <w:tc>
          <w:tcPr>
            <w:tcW w:w="1859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179.000,00</w:t>
            </w:r>
          </w:p>
        </w:tc>
        <w:tc>
          <w:tcPr>
            <w:tcW w:w="1750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-30.692,24</w:t>
            </w:r>
          </w:p>
        </w:tc>
        <w:tc>
          <w:tcPr>
            <w:tcW w:w="1775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148.307,76</w:t>
            </w:r>
          </w:p>
        </w:tc>
      </w:tr>
      <w:t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IV.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ODRŽAVANJE GROBLJA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Održavanje groblja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90.000,00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90.000,00</w:t>
            </w:r>
          </w:p>
        </w:tc>
      </w:tr>
      <w:tr>
        <w:tc>
          <w:tcPr>
            <w:tcW w:w="993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971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UKUPNO IV</w:t>
            </w:r>
          </w:p>
        </w:tc>
        <w:tc>
          <w:tcPr>
            <w:tcW w:w="1859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90.000,00</w:t>
            </w:r>
          </w:p>
        </w:tc>
        <w:tc>
          <w:tcPr>
            <w:tcW w:w="1750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0,00</w:t>
            </w:r>
          </w:p>
        </w:tc>
        <w:tc>
          <w:tcPr>
            <w:tcW w:w="1775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90.000,00</w:t>
            </w:r>
          </w:p>
        </w:tc>
      </w:tr>
      <w:tr>
        <w:tc>
          <w:tcPr>
            <w:tcW w:w="993" w:type="dxa"/>
            <w:shd w:val="clear" w:color="auto" w:fill="D9D9D9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V.</w:t>
            </w:r>
          </w:p>
        </w:tc>
        <w:tc>
          <w:tcPr>
            <w:tcW w:w="3971" w:type="dxa"/>
            <w:shd w:val="clear" w:color="auto" w:fill="D9D9D9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ODRŽAVANJE JAVNE RASVJETE</w:t>
            </w:r>
          </w:p>
        </w:tc>
        <w:tc>
          <w:tcPr>
            <w:tcW w:w="1859" w:type="dxa"/>
            <w:shd w:val="clear" w:color="auto" w:fill="D9D9D9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50" w:type="dxa"/>
            <w:shd w:val="clear" w:color="auto" w:fill="D9D9D9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75" w:type="dxa"/>
            <w:shd w:val="clear" w:color="auto" w:fill="D9D9D9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>
        <w:tc>
          <w:tcPr>
            <w:tcW w:w="99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3971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Održavanje javne rasvjete</w:t>
            </w:r>
          </w:p>
        </w:tc>
        <w:tc>
          <w:tcPr>
            <w:tcW w:w="1859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75.550,00</w:t>
            </w:r>
          </w:p>
        </w:tc>
        <w:tc>
          <w:tcPr>
            <w:tcW w:w="1750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75.550,00</w:t>
            </w:r>
          </w:p>
        </w:tc>
      </w:tr>
      <w:tr>
        <w:tc>
          <w:tcPr>
            <w:tcW w:w="993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3971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Utrošak električne energije</w:t>
            </w:r>
          </w:p>
        </w:tc>
        <w:tc>
          <w:tcPr>
            <w:tcW w:w="1859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125.000,00</w:t>
            </w:r>
          </w:p>
        </w:tc>
        <w:tc>
          <w:tcPr>
            <w:tcW w:w="1750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+10.000,00</w:t>
            </w:r>
          </w:p>
        </w:tc>
        <w:tc>
          <w:tcPr>
            <w:tcW w:w="1775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135.000,00</w:t>
            </w:r>
          </w:p>
        </w:tc>
      </w:tr>
      <w:tr>
        <w:tc>
          <w:tcPr>
            <w:tcW w:w="993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971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UKUPNO V</w:t>
            </w:r>
          </w:p>
        </w:tc>
        <w:tc>
          <w:tcPr>
            <w:tcW w:w="1859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200.550,00</w:t>
            </w:r>
          </w:p>
        </w:tc>
        <w:tc>
          <w:tcPr>
            <w:tcW w:w="1750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+10.000,00</w:t>
            </w:r>
          </w:p>
        </w:tc>
        <w:tc>
          <w:tcPr>
            <w:tcW w:w="1775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210.550,00</w:t>
            </w:r>
          </w:p>
        </w:tc>
      </w:tr>
      <w:tr>
        <w:tc>
          <w:tcPr>
            <w:tcW w:w="993" w:type="dxa"/>
            <w:shd w:val="clear" w:color="auto" w:fill="D9D9D9"/>
          </w:tcPr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971" w:type="dxa"/>
            <w:shd w:val="clear" w:color="auto" w:fill="D9D9D9"/>
          </w:tcPr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UKUPNO RASHODI </w:t>
            </w:r>
          </w:p>
        </w:tc>
        <w:tc>
          <w:tcPr>
            <w:tcW w:w="1859" w:type="dxa"/>
            <w:shd w:val="clear" w:color="auto" w:fill="D9D9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696.758,44</w:t>
            </w:r>
          </w:p>
        </w:tc>
        <w:tc>
          <w:tcPr>
            <w:tcW w:w="1750" w:type="dxa"/>
            <w:shd w:val="clear" w:color="auto" w:fill="D9D9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25.742,24</w:t>
            </w:r>
          </w:p>
        </w:tc>
        <w:tc>
          <w:tcPr>
            <w:tcW w:w="1775" w:type="dxa"/>
            <w:shd w:val="clear" w:color="auto" w:fill="D9D9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671.016,20</w:t>
            </w:r>
          </w:p>
        </w:tc>
      </w:tr>
    </w:tbl>
    <w:p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lastRenderedPageBreak/>
        <w:t>Članak 7.</w:t>
      </w:r>
    </w:p>
    <w:p>
      <w:pPr>
        <w:pStyle w:val="Tijeloteksta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</w:rPr>
        <w:t>Ova</w:t>
      </w:r>
      <w:r>
        <w:rPr>
          <w:rFonts w:ascii="Times New Roman" w:hAnsi="Times New Roman"/>
          <w:lang w:val="hr-HR"/>
        </w:rPr>
        <w:t xml:space="preserve"> Odluka stupa objavit će se  </w:t>
      </w:r>
      <w:r>
        <w:rPr>
          <w:rFonts w:ascii="Times New Roman" w:hAnsi="Times New Roman"/>
        </w:rPr>
        <w:t>u  „Službenom glasniku“ Općine Vladislavci.</w:t>
      </w:r>
    </w:p>
    <w:p>
      <w:pPr>
        <w:rPr>
          <w:rFonts w:ascii="Times New Roman" w:hAnsi="Times New Roman"/>
          <w:b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  <w:lang w:val="hr-HR"/>
        </w:rPr>
        <w:t>363-02/21-18/01</w:t>
      </w:r>
    </w:p>
    <w:p>
      <w:p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URBROJ: 2158-41-01-22-08</w:t>
      </w:r>
    </w:p>
    <w:p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sv-SE"/>
        </w:rPr>
        <w:t>Vladislavci, 28.  prosinca  2022.</w:t>
      </w:r>
    </w:p>
    <w:p>
      <w:pPr>
        <w:pStyle w:val="Tijeloteksta"/>
        <w:ind w:left="523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Predsjednik</w:t>
      </w:r>
    </w:p>
    <w:p>
      <w:pPr>
        <w:pStyle w:val="Tijeloteksta"/>
        <w:ind w:left="523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Općinskog vijeća</w:t>
      </w:r>
    </w:p>
    <w:p>
      <w:pPr>
        <w:pStyle w:val="Tijeloteksta"/>
        <w:ind w:left="5236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 xml:space="preserve">Krunoslav </w:t>
      </w:r>
      <w:proofErr w:type="spellStart"/>
      <w:r>
        <w:rPr>
          <w:rFonts w:ascii="Times New Roman" w:hAnsi="Times New Roman"/>
        </w:rPr>
        <w:t>Morović</w:t>
      </w:r>
      <w:proofErr w:type="spellEnd"/>
    </w:p>
    <w:sectPr>
      <w:footerReference w:type="even" r:id="rId7"/>
      <w:pgSz w:w="11906" w:h="16838" w:code="9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282"/>
    <w:multiLevelType w:val="hybridMultilevel"/>
    <w:tmpl w:val="239803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018C"/>
    <w:multiLevelType w:val="hybridMultilevel"/>
    <w:tmpl w:val="D432421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052EF"/>
    <w:multiLevelType w:val="hybridMultilevel"/>
    <w:tmpl w:val="A47824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C51A7"/>
    <w:multiLevelType w:val="hybridMultilevel"/>
    <w:tmpl w:val="8892EA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A6879"/>
    <w:multiLevelType w:val="hybridMultilevel"/>
    <w:tmpl w:val="8892EA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04908"/>
    <w:multiLevelType w:val="hybridMultilevel"/>
    <w:tmpl w:val="BB4E1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65792"/>
    <w:multiLevelType w:val="hybridMultilevel"/>
    <w:tmpl w:val="8892EA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940BF"/>
    <w:multiLevelType w:val="hybridMultilevel"/>
    <w:tmpl w:val="5F908E62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53B6152"/>
    <w:multiLevelType w:val="hybridMultilevel"/>
    <w:tmpl w:val="BB4E1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C0E9A"/>
    <w:multiLevelType w:val="hybridMultilevel"/>
    <w:tmpl w:val="8892EA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F6A6C"/>
    <w:multiLevelType w:val="hybridMultilevel"/>
    <w:tmpl w:val="4E207AB6"/>
    <w:lvl w:ilvl="0" w:tplc="AF32A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30711"/>
    <w:multiLevelType w:val="hybridMultilevel"/>
    <w:tmpl w:val="76DA0B94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233299">
    <w:abstractNumId w:val="5"/>
  </w:num>
  <w:num w:numId="2" w16cid:durableId="1382755296">
    <w:abstractNumId w:val="10"/>
  </w:num>
  <w:num w:numId="3" w16cid:durableId="2045785617">
    <w:abstractNumId w:val="15"/>
  </w:num>
  <w:num w:numId="4" w16cid:durableId="679770963">
    <w:abstractNumId w:val="3"/>
  </w:num>
  <w:num w:numId="5" w16cid:durableId="733548528">
    <w:abstractNumId w:val="0"/>
  </w:num>
  <w:num w:numId="6" w16cid:durableId="325476261">
    <w:abstractNumId w:val="2"/>
  </w:num>
  <w:num w:numId="7" w16cid:durableId="1790927889">
    <w:abstractNumId w:val="14"/>
  </w:num>
  <w:num w:numId="8" w16cid:durableId="696852018">
    <w:abstractNumId w:val="9"/>
  </w:num>
  <w:num w:numId="9" w16cid:durableId="1065489170">
    <w:abstractNumId w:val="1"/>
  </w:num>
  <w:num w:numId="10" w16cid:durableId="1453329502">
    <w:abstractNumId w:val="13"/>
  </w:num>
  <w:num w:numId="11" w16cid:durableId="1907255564">
    <w:abstractNumId w:val="11"/>
  </w:num>
  <w:num w:numId="12" w16cid:durableId="862136006">
    <w:abstractNumId w:val="7"/>
  </w:num>
  <w:num w:numId="13" w16cid:durableId="551775911">
    <w:abstractNumId w:val="8"/>
  </w:num>
  <w:num w:numId="14" w16cid:durableId="210192636">
    <w:abstractNumId w:val="6"/>
  </w:num>
  <w:num w:numId="15" w16cid:durableId="2146697327">
    <w:abstractNumId w:val="12"/>
  </w:num>
  <w:num w:numId="16" w16cid:durableId="9429581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487EC-C464-40C1-9802-06B4B5B5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Pr>
      <w:rFonts w:ascii="Arial" w:hAnsi="Arial"/>
      <w:sz w:val="24"/>
      <w:szCs w:val="24"/>
      <w:lang w:val="en-US" w:eastAsia="en-US"/>
    </w:rPr>
  </w:style>
  <w:style w:type="paragraph" w:styleId="Bezprored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box458203">
    <w:name w:val="box_458203"/>
    <w:basedOn w:val="Normal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character" w:customStyle="1" w:styleId="kurziv">
    <w:name w:val="kurziv"/>
    <w:basedOn w:val="Zadanifontodlomka"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47</cp:revision>
  <cp:lastPrinted>2022-12-23T10:49:00Z</cp:lastPrinted>
  <dcterms:created xsi:type="dcterms:W3CDTF">2019-12-13T11:00:00Z</dcterms:created>
  <dcterms:modified xsi:type="dcterms:W3CDTF">2023-01-03T07:37:00Z</dcterms:modified>
</cp:coreProperties>
</file>