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35. Zakona o lokalnoj i područnoj (regionalnoj) samoupravi (Narodne novine broj 33/01, 60/01, 129/05, 109/07, 125/08, 36/08, 150/11, 144/12, 19/13, 137/15, 123/17,  98/19 i 144/20), članka  30. Statuta Općine Vladislavci („Službeni glasnik“ Općine Vladislavci br. 3/13, 3/17, 2/18, 4/20, 5/20 – pročišćeni tekst, 8/20, 2/21 i 3/21 – pročišćeni tekst), te članka 29. </w:t>
      </w:r>
      <w:bookmarkStart w:id="0" w:name="_Hlk66092257"/>
      <w:r>
        <w:rPr>
          <w:rFonts w:ascii="Times New Roman" w:hAnsi="Times New Roman"/>
        </w:rPr>
        <w:t xml:space="preserve"> Odluke o poticanju uređenja naselja i demografske obnove na području Općine Vladislavci za razdoblje od  2023. do 2027. godine („Službeni glasnik“ Općine Vladislavci br. </w:t>
      </w:r>
      <w:r>
        <w:rPr>
          <w:rFonts w:ascii="Times New Roman" w:hAnsi="Times New Roman"/>
          <w:lang w:val="en-US"/>
        </w:rPr>
        <w:t>13/22</w:t>
      </w:r>
      <w:r>
        <w:rPr>
          <w:rFonts w:ascii="Times New Roman" w:hAnsi="Times New Roman"/>
        </w:rPr>
        <w:t xml:space="preserve">) </w:t>
      </w:r>
      <w:bookmarkEnd w:id="0"/>
      <w:r>
        <w:rPr>
          <w:rFonts w:ascii="Times New Roman" w:hAnsi="Times New Roman"/>
        </w:rPr>
        <w:t>Općinsko vijeće Općine Vladislavci na svojoj 22. sjednici održanoj dana 28. prosinca  2022.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GODIŠNJI PLAN</w:t>
      </w: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provedbe Odluke o poticanju uređenja naselja i demografske obnove na području Općine Vladislavci za 2023. godinu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Ovim Godišnjim planom  utvrđuju se  mjere i visina sufinanciranja pojedinih mjera iz Odluke o poticanju uređenja naselja i demografske obnove na području Općine Vladislavci u 2023. godini.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Odluke o poticanju uređenja naselja i demografske obnove na području Općine Vladislavci planiraju se sredstva u visini od </w:t>
      </w:r>
      <w:r>
        <w:rPr>
          <w:rFonts w:ascii="Times New Roman" w:hAnsi="Times New Roman"/>
          <w:b/>
          <w:bCs/>
        </w:rPr>
        <w:t>145.285,13 eura.</w:t>
      </w:r>
      <w:r>
        <w:rPr>
          <w:rFonts w:ascii="Times New Roman" w:hAnsi="Times New Roman"/>
        </w:rPr>
        <w:t xml:space="preserve"> 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972" w:type="dxa"/>
        <w:tblInd w:w="-289" w:type="dxa"/>
        <w:tblLook w:val="04A0" w:firstRow="1" w:lastRow="0" w:firstColumn="1" w:lastColumn="0" w:noHBand="0" w:noVBand="1"/>
      </w:tblPr>
      <w:tblGrid>
        <w:gridCol w:w="1563"/>
        <w:gridCol w:w="5945"/>
        <w:gridCol w:w="2464"/>
      </w:tblGrid>
      <w:tr>
        <w:tc>
          <w:tcPr>
            <w:tcW w:w="156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 EURIMA</w:t>
            </w:r>
          </w:p>
        </w:tc>
      </w:tr>
      <w:tr>
        <w:tc>
          <w:tcPr>
            <w:tcW w:w="156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1563" w:type="dxa"/>
          </w:tcPr>
          <w:p>
            <w:pPr>
              <w:pStyle w:val="Tijeloteksta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ind w:left="742" w:hanging="283"/>
              <w:rPr>
                <w:rFonts w:ascii="Times New Roman" w:hAnsi="Times New Roman"/>
              </w:rPr>
            </w:pPr>
          </w:p>
        </w:tc>
        <w:tc>
          <w:tcPr>
            <w:tcW w:w="5945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</w:t>
            </w:r>
          </w:p>
        </w:tc>
        <w:tc>
          <w:tcPr>
            <w:tcW w:w="246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13.936,00</w:t>
            </w:r>
          </w:p>
        </w:tc>
      </w:tr>
      <w:tr>
        <w:tc>
          <w:tcPr>
            <w:tcW w:w="1563" w:type="dxa"/>
          </w:tcPr>
          <w:p>
            <w:pPr>
              <w:pStyle w:val="Tijeloteksta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ind w:left="742" w:hanging="283"/>
              <w:rPr>
                <w:rFonts w:ascii="Times New Roman" w:hAnsi="Times New Roman"/>
              </w:rPr>
            </w:pPr>
          </w:p>
        </w:tc>
        <w:tc>
          <w:tcPr>
            <w:tcW w:w="5945" w:type="dxa"/>
          </w:tcPr>
          <w:p>
            <w:pPr>
              <w:pStyle w:val="Tijeloteksta"/>
              <w:tabs>
                <w:tab w:val="left" w:pos="44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</w:t>
            </w:r>
          </w:p>
        </w:tc>
        <w:tc>
          <w:tcPr>
            <w:tcW w:w="246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531,00</w:t>
            </w:r>
          </w:p>
        </w:tc>
      </w:tr>
      <w:tr>
        <w:tc>
          <w:tcPr>
            <w:tcW w:w="1563" w:type="dxa"/>
          </w:tcPr>
          <w:p>
            <w:pPr>
              <w:pStyle w:val="Tijeloteksta"/>
              <w:numPr>
                <w:ilvl w:val="0"/>
                <w:numId w:val="5"/>
              </w:numPr>
              <w:tabs>
                <w:tab w:val="left" w:pos="742"/>
                <w:tab w:val="left" w:pos="1026"/>
              </w:tabs>
              <w:ind w:left="742" w:hanging="283"/>
              <w:rPr>
                <w:rFonts w:ascii="Times New Roman" w:hAnsi="Times New Roman"/>
              </w:rPr>
            </w:pPr>
          </w:p>
        </w:tc>
        <w:tc>
          <w:tcPr>
            <w:tcW w:w="5945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</w:t>
            </w:r>
          </w:p>
        </w:tc>
        <w:tc>
          <w:tcPr>
            <w:tcW w:w="246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2.654,00</w:t>
            </w:r>
          </w:p>
        </w:tc>
      </w:tr>
      <w:tr>
        <w:tc>
          <w:tcPr>
            <w:tcW w:w="1563" w:type="dxa"/>
          </w:tcPr>
          <w:p>
            <w:pPr>
              <w:pStyle w:val="Tijeloteksta"/>
              <w:tabs>
                <w:tab w:val="left" w:pos="742"/>
                <w:tab w:val="left" w:pos="1026"/>
              </w:tabs>
              <w:ind w:left="742" w:hanging="283"/>
              <w:rPr>
                <w:rFonts w:ascii="Times New Roman" w:hAnsi="Times New Roman"/>
              </w:rPr>
            </w:pPr>
          </w:p>
        </w:tc>
        <w:tc>
          <w:tcPr>
            <w:tcW w:w="5945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2464" w:type="dxa"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17.121,00</w:t>
            </w:r>
          </w:p>
        </w:tc>
      </w:tr>
      <w:tr>
        <w:tc>
          <w:tcPr>
            <w:tcW w:w="1563" w:type="dxa"/>
            <w:shd w:val="clear" w:color="auto" w:fill="D9D9D9" w:themeFill="background1" w:themeFillShade="D9"/>
          </w:tcPr>
          <w:p>
            <w:pPr>
              <w:pStyle w:val="Tijeloteksta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Pomoć novorođenom djetetu 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10.618,00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588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Stipendiranje studenata 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6.901,14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Nagrađivanje najboljih učenika osnovnih škola 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pStyle w:val="Tijeloteksta"/>
              <w:tabs>
                <w:tab w:val="right" w:pos="224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</w:rPr>
              <w:tab/>
              <w:t>1.328,00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10.618,00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programa predškolskog odgoja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77.112,00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2.389,00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„predškole“ u dječjem vrtiću u Vladislavcima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305,00</w:t>
            </w:r>
          </w:p>
          <w:p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Nabavka poklon paketa za blagdane 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3.318,07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9.284,00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tabs>
                <w:tab w:val="left" w:pos="12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796,34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troškova polaganja vozačkog ispita srednjoškolcima i studentima s područja Općine Vladislavci 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1.327,23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688" w:hanging="1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Sufinaciranje fizikalne terapije djeci s invaliditetom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3.185,35</w:t>
            </w:r>
          </w:p>
        </w:tc>
      </w:tr>
      <w:tr>
        <w:tc>
          <w:tcPr>
            <w:tcW w:w="1563" w:type="dxa"/>
            <w:shd w:val="clear" w:color="auto" w:fill="FFFFFF" w:themeFill="background1"/>
          </w:tcPr>
          <w:p>
            <w:pPr>
              <w:pStyle w:val="Tijeloteksta"/>
              <w:ind w:left="720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246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128.164,13</w:t>
            </w:r>
          </w:p>
        </w:tc>
      </w:tr>
      <w:tr>
        <w:tc>
          <w:tcPr>
            <w:tcW w:w="1563" w:type="dxa"/>
            <w:shd w:val="clear" w:color="auto" w:fill="F2F2F2" w:themeFill="background1" w:themeFillShade="F2"/>
          </w:tcPr>
          <w:p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5945" w:type="dxa"/>
            <w:shd w:val="clear" w:color="auto" w:fill="F2F2F2" w:themeFill="background1" w:themeFillShade="F2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SVEUKUPNO </w:t>
            </w:r>
          </w:p>
          <w:p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>
            <w:pPr>
              <w:tabs>
                <w:tab w:val="center" w:pos="1124"/>
                <w:tab w:val="right" w:pos="2248"/>
              </w:tabs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ab/>
              <w:t>145.285,13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>Ovaj Godišnji plan objavit će se u  „Službenom glasniku“ Općine Vladislavci.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363-01/22-05/02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UR.BROJ: 2158-41-01-22-02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Vladislavci, 28. prosinca 2022.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b/>
        </w:rPr>
      </w:pP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/>
    <w:p/>
    <w:p/>
    <w:sectPr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15594">
    <w:abstractNumId w:val="4"/>
  </w:num>
  <w:num w:numId="2" w16cid:durableId="1028608806">
    <w:abstractNumId w:val="6"/>
  </w:num>
  <w:num w:numId="3" w16cid:durableId="582108205">
    <w:abstractNumId w:val="2"/>
  </w:num>
  <w:num w:numId="4" w16cid:durableId="139352338">
    <w:abstractNumId w:val="3"/>
  </w:num>
  <w:num w:numId="5" w16cid:durableId="1333878535">
    <w:abstractNumId w:val="5"/>
  </w:num>
  <w:num w:numId="6" w16cid:durableId="1142691506">
    <w:abstractNumId w:val="0"/>
  </w:num>
  <w:num w:numId="7" w16cid:durableId="1656373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12</cp:revision>
  <cp:lastPrinted>2022-12-23T07:47:00Z</cp:lastPrinted>
  <dcterms:created xsi:type="dcterms:W3CDTF">2022-12-22T13:28:00Z</dcterms:created>
  <dcterms:modified xsi:type="dcterms:W3CDTF">2023-01-02T12:13:00Z</dcterms:modified>
</cp:coreProperties>
</file>