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5FF9" w14:textId="42375BBC" w:rsidR="001273D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Na temelju članka 49. stavak 4. Zakona o poljoprivrednom zemljištu („Narodne novine“ br. 20/18, 115/18</w:t>
      </w:r>
      <w:r w:rsidR="00C353A9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  <w:lang w:val="hr-HR"/>
        </w:rPr>
        <w:t xml:space="preserve"> 98/19</w:t>
      </w:r>
      <w:r w:rsidR="00C353A9">
        <w:rPr>
          <w:rFonts w:ascii="Times New Roman" w:hAnsi="Times New Roman"/>
          <w:lang w:val="hr-HR"/>
        </w:rPr>
        <w:t xml:space="preserve"> i 57/22</w:t>
      </w:r>
      <w:r>
        <w:rPr>
          <w:rFonts w:ascii="Times New Roman" w:hAnsi="Times New Roman"/>
          <w:lang w:val="hr-HR"/>
        </w:rPr>
        <w:t xml:space="preserve">)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 xml:space="preserve">i članka 30. Statuta Općine Vladislavci („Službeni glasnik“ Općine Vladislavci br. 3/13, 3/17, 2/18, 4/20, 5/20- pročišćeni tekst, 8/20, 2/21 i 3/21 – pročišćeni tekst) </w:t>
      </w:r>
      <w:r>
        <w:rPr>
          <w:rFonts w:ascii="Times New Roman" w:hAnsi="Times New Roman"/>
        </w:rPr>
        <w:t xml:space="preserve"> Općinsko vijeće Općine Vladislavci na svojoj </w:t>
      </w:r>
      <w:r w:rsidR="00D6423E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</w:t>
      </w:r>
      <w:r>
        <w:rPr>
          <w:rFonts w:ascii="Times New Roman" w:hAnsi="Times New Roman"/>
          <w:lang w:val="hr-HR"/>
        </w:rPr>
        <w:t xml:space="preserve"> </w:t>
      </w:r>
      <w:r w:rsidR="00D6423E">
        <w:rPr>
          <w:rFonts w:ascii="Times New Roman" w:hAnsi="Times New Roman"/>
          <w:lang w:val="hr-HR"/>
        </w:rPr>
        <w:t>26</w:t>
      </w:r>
      <w:r w:rsidR="00273702">
        <w:rPr>
          <w:rFonts w:ascii="Times New Roman" w:hAnsi="Times New Roman"/>
          <w:lang w:val="hr-HR"/>
        </w:rPr>
        <w:t xml:space="preserve">. studenoga </w:t>
      </w:r>
      <w:r>
        <w:rPr>
          <w:rFonts w:ascii="Times New Roman" w:hAnsi="Times New Roman"/>
          <w:lang w:val="hr-HR"/>
        </w:rPr>
        <w:t xml:space="preserve"> </w:t>
      </w:r>
      <w:r w:rsidR="00273702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</w:rPr>
        <w:t xml:space="preserve">. godine donosi </w:t>
      </w:r>
    </w:p>
    <w:p w14:paraId="7F11AE6B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45D2C57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57AEDFB" w14:textId="77777777" w:rsidR="001273DB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</w:t>
      </w:r>
    </w:p>
    <w:p w14:paraId="380890FF" w14:textId="735F6E61" w:rsidR="001273DB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korištenja sredstava od </w:t>
      </w:r>
      <w:r>
        <w:rPr>
          <w:rFonts w:ascii="Times New Roman" w:hAnsi="Times New Roman"/>
          <w:b/>
          <w:color w:val="231F20"/>
          <w:lang w:val="hr-HR"/>
        </w:rPr>
        <w:t xml:space="preserve">raspolaganja poljoprivrednim zemljištem u vlasništvu države na području Općine Vladislavci za </w:t>
      </w:r>
      <w:r w:rsidR="00273702">
        <w:rPr>
          <w:rFonts w:ascii="Times New Roman" w:hAnsi="Times New Roman"/>
          <w:b/>
          <w:color w:val="231F20"/>
          <w:lang w:val="hr-HR"/>
        </w:rPr>
        <w:t>2025</w:t>
      </w:r>
      <w:r>
        <w:rPr>
          <w:rFonts w:ascii="Times New Roman" w:hAnsi="Times New Roman"/>
          <w:b/>
          <w:color w:val="231F20"/>
          <w:lang w:val="hr-HR"/>
        </w:rPr>
        <w:t>. godinu</w:t>
      </w:r>
    </w:p>
    <w:p w14:paraId="3BAF662C" w14:textId="77777777" w:rsidR="001273DB" w:rsidRDefault="001273D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52EF702A" w14:textId="77777777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I.</w:t>
      </w:r>
    </w:p>
    <w:p w14:paraId="46AECE5A" w14:textId="77777777" w:rsidR="001273DB" w:rsidRDefault="001273DB">
      <w:pPr>
        <w:pStyle w:val="Tijeloteksta"/>
        <w:jc w:val="left"/>
        <w:rPr>
          <w:rFonts w:ascii="Times New Roman" w:hAnsi="Times New Roman"/>
          <w:b/>
        </w:rPr>
      </w:pPr>
    </w:p>
    <w:p w14:paraId="3B2F3D65" w14:textId="27165E1C" w:rsidR="001273DB" w:rsidRDefault="00000000">
      <w:pPr>
        <w:pStyle w:val="Tijeloteksta"/>
        <w:ind w:firstLine="720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</w:rPr>
        <w:t>Program</w:t>
      </w:r>
      <w:r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</w:rPr>
        <w:t xml:space="preserve">korištenja sredstava od </w:t>
      </w:r>
      <w:r>
        <w:rPr>
          <w:rFonts w:ascii="Times New Roman" w:hAnsi="Times New Roman"/>
          <w:lang w:val="hr-HR"/>
        </w:rPr>
        <w:t xml:space="preserve">raspolaganja poljoprivrednim zemljištem u vlasništvu države na području Općine Vladislavci za </w:t>
      </w:r>
      <w:r w:rsidR="00273702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je planski dokument kojim se raspoređuju namjenski prihodi od </w:t>
      </w:r>
      <w:r>
        <w:rPr>
          <w:rFonts w:ascii="Times New Roman" w:hAnsi="Times New Roman"/>
        </w:rPr>
        <w:t>zakupa, prodaje, prodaje izravnom pogodbom, privremenog korištenja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 xml:space="preserve"> davanja na korištenje izravnom pogodbom </w:t>
      </w:r>
      <w:r>
        <w:rPr>
          <w:rFonts w:ascii="Times New Roman" w:hAnsi="Times New Roman"/>
          <w:lang w:val="hr-HR"/>
        </w:rPr>
        <w:t xml:space="preserve">i koncesije državnog poljoprivrednog zemljišta na području Općine Vladislavci prema namjeni koja je propisana Zakonom o poljoprivrednom zemljištu. </w:t>
      </w:r>
    </w:p>
    <w:p w14:paraId="1E531858" w14:textId="77777777" w:rsidR="001273DB" w:rsidRDefault="001273DB">
      <w:pPr>
        <w:pStyle w:val="Tijeloteksta"/>
        <w:rPr>
          <w:rFonts w:ascii="Times New Roman" w:hAnsi="Times New Roman"/>
          <w:lang w:val="hr-HR"/>
        </w:rPr>
      </w:pPr>
    </w:p>
    <w:p w14:paraId="74D9BAD6" w14:textId="148D5889" w:rsidR="001273DB" w:rsidRDefault="00000000">
      <w:pPr>
        <w:pStyle w:val="Tijeloteksta"/>
        <w:ind w:firstLine="720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lang w:val="hr-HR"/>
        </w:rPr>
        <w:t xml:space="preserve">Ovim Programom utvrđuje se raspored prihoda prema namjeni rashoda planiranom u Proračunu Općine Vladislavci za </w:t>
      </w:r>
      <w:r w:rsidR="00273702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>. godinu i projekcijama za 202</w:t>
      </w:r>
      <w:r w:rsidR="00273702">
        <w:rPr>
          <w:rFonts w:ascii="Times New Roman" w:hAnsi="Times New Roman"/>
          <w:lang w:val="hr-HR"/>
        </w:rPr>
        <w:t xml:space="preserve">6. </w:t>
      </w:r>
      <w:r>
        <w:rPr>
          <w:rFonts w:ascii="Times New Roman" w:hAnsi="Times New Roman"/>
          <w:lang w:val="hr-HR"/>
        </w:rPr>
        <w:t>i 202</w:t>
      </w:r>
      <w:r w:rsidR="00273702">
        <w:rPr>
          <w:rFonts w:ascii="Times New Roman" w:hAnsi="Times New Roman"/>
          <w:lang w:val="hr-HR"/>
        </w:rPr>
        <w:t>7</w:t>
      </w:r>
      <w:r>
        <w:rPr>
          <w:rFonts w:ascii="Times New Roman" w:hAnsi="Times New Roman"/>
          <w:lang w:val="hr-HR"/>
        </w:rPr>
        <w:t>. godinu</w:t>
      </w:r>
      <w:r>
        <w:rPr>
          <w:rFonts w:ascii="Times New Roman" w:hAnsi="Times New Roman"/>
          <w:color w:val="231F20"/>
          <w:lang w:val="hr-HR"/>
        </w:rPr>
        <w:t xml:space="preserve">. </w:t>
      </w:r>
    </w:p>
    <w:p w14:paraId="5FE19FE6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DC013A4" w14:textId="77777777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7CBE79A7" w14:textId="77777777" w:rsidR="001273DB" w:rsidRDefault="001273DB">
      <w:pPr>
        <w:pStyle w:val="Tijeloteksta"/>
        <w:jc w:val="center"/>
        <w:rPr>
          <w:rFonts w:ascii="Times New Roman" w:hAnsi="Times New Roman"/>
          <w:b/>
        </w:rPr>
      </w:pPr>
    </w:p>
    <w:p w14:paraId="324DFE45" w14:textId="367D43DF" w:rsidR="001273DB" w:rsidRDefault="00000000">
      <w:pPr>
        <w:pStyle w:val="Tijeloteksta"/>
        <w:ind w:firstLine="7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Od raspolaganja poljoprivrednim zemljištem u vlasništvu države na području Općine Vladislavci u </w:t>
      </w:r>
      <w:r w:rsidR="00273702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godini planiraju se ostvariti slijedeće vrste prihoda: </w:t>
      </w:r>
    </w:p>
    <w:p w14:paraId="7520679E" w14:textId="77777777" w:rsidR="001273DB" w:rsidRDefault="001273DB">
      <w:pPr>
        <w:pStyle w:val="Tijeloteksta"/>
        <w:rPr>
          <w:rFonts w:ascii="Times New Roman" w:hAnsi="Times New Roman"/>
          <w:lang w:val="hr-HR"/>
        </w:rPr>
      </w:pPr>
    </w:p>
    <w:p w14:paraId="77340E55" w14:textId="77777777" w:rsidR="001273DB" w:rsidRDefault="001273DB">
      <w:pPr>
        <w:pStyle w:val="Tijeloteksta"/>
        <w:rPr>
          <w:rFonts w:ascii="Times New Roman" w:hAnsi="Times New Roman"/>
          <w:lang w:val="hr-HR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7001"/>
        <w:gridCol w:w="1984"/>
      </w:tblGrid>
      <w:tr w:rsidR="001273DB" w14:paraId="20CE232C" w14:textId="77777777" w:rsidTr="00DC1C97">
        <w:tc>
          <w:tcPr>
            <w:tcW w:w="938" w:type="dxa"/>
            <w:shd w:val="clear" w:color="auto" w:fill="DEEAF6" w:themeFill="accent1" w:themeFillTint="33"/>
          </w:tcPr>
          <w:p w14:paraId="2316CF7D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7001" w:type="dxa"/>
            <w:shd w:val="clear" w:color="auto" w:fill="DEEAF6" w:themeFill="accent1" w:themeFillTint="33"/>
          </w:tcPr>
          <w:p w14:paraId="2A7527D4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OPIS</w:t>
            </w:r>
          </w:p>
          <w:p w14:paraId="3D22A495" w14:textId="77777777" w:rsidR="00DC1C97" w:rsidRDefault="00DC1C97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7510CE7A" w14:textId="35206A71" w:rsidR="001273D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 </w:t>
            </w:r>
            <w:r w:rsidR="00EE55A0">
              <w:rPr>
                <w:rFonts w:ascii="Times New Roman" w:hAnsi="Times New Roman"/>
                <w:b/>
                <w:bCs/>
                <w:lang w:val="hr-HR"/>
              </w:rPr>
              <w:t>EURIMA</w:t>
            </w:r>
          </w:p>
        </w:tc>
      </w:tr>
      <w:tr w:rsidR="001273DB" w14:paraId="18E39D2E" w14:textId="77777777" w:rsidTr="00DC1C97">
        <w:tc>
          <w:tcPr>
            <w:tcW w:w="938" w:type="dxa"/>
            <w:shd w:val="clear" w:color="auto" w:fill="FFFFFF" w:themeFill="background1"/>
          </w:tcPr>
          <w:p w14:paraId="1F280469" w14:textId="77777777" w:rsidR="001273DB" w:rsidRDefault="001273DB">
            <w:pPr>
              <w:pStyle w:val="Tijeloteksta"/>
              <w:numPr>
                <w:ilvl w:val="0"/>
                <w:numId w:val="18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01" w:type="dxa"/>
            <w:shd w:val="clear" w:color="auto" w:fill="FFFFFF" w:themeFill="background1"/>
          </w:tcPr>
          <w:p w14:paraId="5D3DF72D" w14:textId="613B034D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prihod od zakup</w:t>
            </w:r>
            <w:r w:rsidR="00273702">
              <w:rPr>
                <w:rFonts w:ascii="Times New Roman" w:hAnsi="Times New Roman"/>
                <w:lang w:val="hr-HR"/>
              </w:rPr>
              <w:t>a</w:t>
            </w:r>
            <w:r>
              <w:rPr>
                <w:rFonts w:ascii="Times New Roman" w:hAnsi="Times New Roman"/>
                <w:lang w:val="hr-HR"/>
              </w:rPr>
              <w:t xml:space="preserve"> državnog poljoprivrednog zemljišta </w:t>
            </w:r>
          </w:p>
        </w:tc>
        <w:tc>
          <w:tcPr>
            <w:tcW w:w="1984" w:type="dxa"/>
            <w:shd w:val="clear" w:color="auto" w:fill="FFFFFF" w:themeFill="background1"/>
          </w:tcPr>
          <w:p w14:paraId="2D405AAE" w14:textId="44FECF77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35.515,11</w:t>
            </w:r>
          </w:p>
        </w:tc>
      </w:tr>
      <w:tr w:rsidR="001273DB" w14:paraId="01925B17" w14:textId="77777777" w:rsidTr="00DC1C97">
        <w:tc>
          <w:tcPr>
            <w:tcW w:w="938" w:type="dxa"/>
            <w:shd w:val="clear" w:color="auto" w:fill="FFFFFF" w:themeFill="background1"/>
          </w:tcPr>
          <w:p w14:paraId="6F11AAA0" w14:textId="77777777" w:rsidR="001273DB" w:rsidRDefault="001273DB">
            <w:pPr>
              <w:pStyle w:val="Tijeloteksta"/>
              <w:numPr>
                <w:ilvl w:val="0"/>
                <w:numId w:val="18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01" w:type="dxa"/>
            <w:shd w:val="clear" w:color="auto" w:fill="FFFFFF" w:themeFill="background1"/>
          </w:tcPr>
          <w:p w14:paraId="13CBAFD1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prihod od prodaje, prodaje izravnom pogodbom</w:t>
            </w:r>
          </w:p>
        </w:tc>
        <w:tc>
          <w:tcPr>
            <w:tcW w:w="1984" w:type="dxa"/>
            <w:shd w:val="clear" w:color="auto" w:fill="FFFFFF" w:themeFill="background1"/>
          </w:tcPr>
          <w:p w14:paraId="0824A9CA" w14:textId="43CB6D48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36.516,38</w:t>
            </w:r>
          </w:p>
        </w:tc>
      </w:tr>
      <w:tr w:rsidR="001273DB" w14:paraId="228F1EDF" w14:textId="77777777" w:rsidTr="00DC1C97">
        <w:tc>
          <w:tcPr>
            <w:tcW w:w="938" w:type="dxa"/>
            <w:shd w:val="clear" w:color="auto" w:fill="FFFFFF" w:themeFill="background1"/>
          </w:tcPr>
          <w:p w14:paraId="66BD3760" w14:textId="77777777" w:rsidR="001273DB" w:rsidRDefault="001273DB">
            <w:pPr>
              <w:pStyle w:val="Tijeloteksta"/>
              <w:numPr>
                <w:ilvl w:val="0"/>
                <w:numId w:val="18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01" w:type="dxa"/>
            <w:shd w:val="clear" w:color="auto" w:fill="FFFFFF" w:themeFill="background1"/>
          </w:tcPr>
          <w:p w14:paraId="04025CA9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 od koncesije </w:t>
            </w:r>
          </w:p>
        </w:tc>
        <w:tc>
          <w:tcPr>
            <w:tcW w:w="1984" w:type="dxa"/>
            <w:shd w:val="clear" w:color="auto" w:fill="FFFFFF" w:themeFill="background1"/>
          </w:tcPr>
          <w:p w14:paraId="69A964DB" w14:textId="75B26A6C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53.793,92</w:t>
            </w:r>
          </w:p>
        </w:tc>
      </w:tr>
      <w:tr w:rsidR="001273DB" w14:paraId="24671EC1" w14:textId="77777777" w:rsidTr="00DC1C97">
        <w:tc>
          <w:tcPr>
            <w:tcW w:w="938" w:type="dxa"/>
            <w:shd w:val="clear" w:color="auto" w:fill="FFFF00"/>
          </w:tcPr>
          <w:p w14:paraId="67A00768" w14:textId="77777777" w:rsidR="001273DB" w:rsidRDefault="001273DB">
            <w:pPr>
              <w:pStyle w:val="Tijeloteksta"/>
              <w:ind w:left="72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7001" w:type="dxa"/>
            <w:shd w:val="clear" w:color="auto" w:fill="FFFF00"/>
          </w:tcPr>
          <w:p w14:paraId="01491C0B" w14:textId="77777777" w:rsidR="001273DB" w:rsidRDefault="00000000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UKUPNO I.</w:t>
            </w:r>
          </w:p>
          <w:p w14:paraId="6CC57DC0" w14:textId="77777777" w:rsidR="001273DB" w:rsidRDefault="001273DB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984" w:type="dxa"/>
            <w:shd w:val="clear" w:color="auto" w:fill="FFFF00"/>
          </w:tcPr>
          <w:p w14:paraId="6F7631F3" w14:textId="47D765FD" w:rsidR="001273DB" w:rsidRDefault="002D6C96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125.825,41</w:t>
            </w:r>
          </w:p>
        </w:tc>
      </w:tr>
    </w:tbl>
    <w:p w14:paraId="2313A61C" w14:textId="77777777" w:rsidR="001273DB" w:rsidRDefault="001273DB">
      <w:pPr>
        <w:pStyle w:val="Tijeloteksta"/>
        <w:jc w:val="center"/>
        <w:rPr>
          <w:rFonts w:ascii="Times New Roman" w:hAnsi="Times New Roman"/>
          <w:b/>
        </w:rPr>
      </w:pPr>
    </w:p>
    <w:p w14:paraId="43D84B66" w14:textId="77777777" w:rsidR="001273DB" w:rsidRDefault="001273DB">
      <w:pPr>
        <w:pStyle w:val="Tijeloteksta"/>
        <w:jc w:val="center"/>
        <w:rPr>
          <w:rFonts w:ascii="Times New Roman" w:hAnsi="Times New Roman"/>
          <w:b/>
        </w:rPr>
      </w:pPr>
    </w:p>
    <w:p w14:paraId="5BD16FFB" w14:textId="77777777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0CC1C78E" w14:textId="77777777" w:rsidR="001273DB" w:rsidRDefault="001273DB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01113E20" w14:textId="77777777" w:rsidR="001273D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hr-HR"/>
        </w:rPr>
        <w:t>Ukupni prihod iz točke II. ovog programa raspoređuje se na slijedeće rashode</w:t>
      </w:r>
      <w:r>
        <w:rPr>
          <w:rFonts w:ascii="Times New Roman" w:hAnsi="Times New Roman"/>
        </w:rPr>
        <w:t>:</w:t>
      </w:r>
    </w:p>
    <w:p w14:paraId="0D88F332" w14:textId="77777777" w:rsidR="001273DB" w:rsidRDefault="001273DB">
      <w:pPr>
        <w:pStyle w:val="Tijeloteksta"/>
        <w:rPr>
          <w:rFonts w:ascii="Times New Roman" w:hAnsi="Times New Roman"/>
          <w:lang w:val="hr-H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7017"/>
        <w:gridCol w:w="1985"/>
      </w:tblGrid>
      <w:tr w:rsidR="001273DB" w14:paraId="024731B2" w14:textId="77777777" w:rsidTr="00DC1C97">
        <w:tc>
          <w:tcPr>
            <w:tcW w:w="922" w:type="dxa"/>
            <w:shd w:val="clear" w:color="auto" w:fill="DEEAF6" w:themeFill="accent1" w:themeFillTint="33"/>
          </w:tcPr>
          <w:p w14:paraId="59E68707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7017" w:type="dxa"/>
            <w:shd w:val="clear" w:color="auto" w:fill="DEEAF6" w:themeFill="accent1" w:themeFillTint="33"/>
          </w:tcPr>
          <w:p w14:paraId="7BD6EFEB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OPIS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FBF00C1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</w:t>
            </w:r>
          </w:p>
          <w:p w14:paraId="5D8CEC04" w14:textId="3CCA2521" w:rsidR="001273DB" w:rsidRDefault="00DC1C97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EURIMA</w:t>
            </w:r>
          </w:p>
        </w:tc>
      </w:tr>
      <w:tr w:rsidR="001273DB" w14:paraId="66DEDD8D" w14:textId="77777777" w:rsidTr="00DC1C97">
        <w:tc>
          <w:tcPr>
            <w:tcW w:w="922" w:type="dxa"/>
            <w:shd w:val="clear" w:color="auto" w:fill="D9D9D9"/>
          </w:tcPr>
          <w:p w14:paraId="004A1DC9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I.</w:t>
            </w:r>
          </w:p>
        </w:tc>
        <w:tc>
          <w:tcPr>
            <w:tcW w:w="9002" w:type="dxa"/>
            <w:gridSpan w:val="2"/>
            <w:shd w:val="clear" w:color="auto" w:fill="D9D9D9"/>
          </w:tcPr>
          <w:p w14:paraId="36654A44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KATASTARSKO-GEODETSKA IZMJERA I TROŠKOVI PROVEDBE ZAKONA O POLJOPRIVREDNOM ZEMLJIŠTU</w:t>
            </w:r>
          </w:p>
        </w:tc>
      </w:tr>
      <w:tr w:rsidR="001273DB" w14:paraId="1A66B391" w14:textId="77777777" w:rsidTr="00DC1C97">
        <w:tc>
          <w:tcPr>
            <w:tcW w:w="922" w:type="dxa"/>
            <w:shd w:val="clear" w:color="auto" w:fill="FFFFFF" w:themeFill="background1"/>
          </w:tcPr>
          <w:p w14:paraId="0EE6456A" w14:textId="77777777" w:rsidR="001273DB" w:rsidRDefault="001273DB">
            <w:pPr>
              <w:pStyle w:val="Tijeloteksta"/>
              <w:numPr>
                <w:ilvl w:val="0"/>
                <w:numId w:val="21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FF" w:themeFill="background1"/>
          </w:tcPr>
          <w:p w14:paraId="3301A928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Troškovi katastarsko-geodetske izmjere zemljišta</w:t>
            </w:r>
          </w:p>
        </w:tc>
        <w:tc>
          <w:tcPr>
            <w:tcW w:w="1985" w:type="dxa"/>
            <w:shd w:val="clear" w:color="auto" w:fill="FFFFFF" w:themeFill="background1"/>
          </w:tcPr>
          <w:p w14:paraId="393BBA87" w14:textId="77777777" w:rsidR="00490697" w:rsidRDefault="00490697" w:rsidP="0049069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  <w:p w14:paraId="61C33F77" w14:textId="2C52393F" w:rsidR="00273702" w:rsidRDefault="002D6C96" w:rsidP="0049069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1.000,00</w:t>
            </w:r>
          </w:p>
        </w:tc>
      </w:tr>
      <w:tr w:rsidR="001273DB" w14:paraId="00EEDB57" w14:textId="77777777" w:rsidTr="00DC1C97">
        <w:tc>
          <w:tcPr>
            <w:tcW w:w="922" w:type="dxa"/>
            <w:shd w:val="clear" w:color="auto" w:fill="FFFFFF" w:themeFill="background1"/>
          </w:tcPr>
          <w:p w14:paraId="71037466" w14:textId="77777777" w:rsidR="001273DB" w:rsidRDefault="001273DB">
            <w:pPr>
              <w:pStyle w:val="Tijeloteksta"/>
              <w:numPr>
                <w:ilvl w:val="0"/>
                <w:numId w:val="21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FF" w:themeFill="background1"/>
          </w:tcPr>
          <w:p w14:paraId="2C956C22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Usluge kopiranja, grafičke i tiskarske usluge </w:t>
            </w:r>
          </w:p>
        </w:tc>
        <w:tc>
          <w:tcPr>
            <w:tcW w:w="1985" w:type="dxa"/>
            <w:shd w:val="clear" w:color="auto" w:fill="FFFFFF" w:themeFill="background1"/>
          </w:tcPr>
          <w:p w14:paraId="7B623096" w14:textId="7DE5A440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200,00</w:t>
            </w:r>
          </w:p>
        </w:tc>
      </w:tr>
      <w:tr w:rsidR="001273DB" w14:paraId="1C937DFF" w14:textId="77777777" w:rsidTr="00DC1C97">
        <w:tc>
          <w:tcPr>
            <w:tcW w:w="922" w:type="dxa"/>
            <w:shd w:val="clear" w:color="auto" w:fill="FFFFFF" w:themeFill="background1"/>
          </w:tcPr>
          <w:p w14:paraId="66613AFF" w14:textId="77777777" w:rsidR="001273DB" w:rsidRDefault="001273DB">
            <w:pPr>
              <w:pStyle w:val="Tijeloteksta"/>
              <w:numPr>
                <w:ilvl w:val="0"/>
                <w:numId w:val="21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FF" w:themeFill="background1"/>
          </w:tcPr>
          <w:p w14:paraId="3B2130CA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Uredski materijal </w:t>
            </w:r>
          </w:p>
        </w:tc>
        <w:tc>
          <w:tcPr>
            <w:tcW w:w="1985" w:type="dxa"/>
            <w:shd w:val="clear" w:color="auto" w:fill="FFFFFF" w:themeFill="background1"/>
          </w:tcPr>
          <w:p w14:paraId="035986C2" w14:textId="55C9BAD6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1.400,00</w:t>
            </w:r>
          </w:p>
        </w:tc>
      </w:tr>
      <w:tr w:rsidR="001273DB" w14:paraId="190DE059" w14:textId="77777777" w:rsidTr="00DC1C97">
        <w:tc>
          <w:tcPr>
            <w:tcW w:w="922" w:type="dxa"/>
            <w:shd w:val="clear" w:color="auto" w:fill="FFFFFF" w:themeFill="background1"/>
          </w:tcPr>
          <w:p w14:paraId="615557FB" w14:textId="77777777" w:rsidR="001273DB" w:rsidRDefault="001273DB">
            <w:pPr>
              <w:pStyle w:val="Tijeloteksta"/>
              <w:numPr>
                <w:ilvl w:val="0"/>
                <w:numId w:val="21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FF" w:themeFill="background1"/>
          </w:tcPr>
          <w:p w14:paraId="221D28CE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Dio plaće za zaposlene</w:t>
            </w:r>
          </w:p>
        </w:tc>
        <w:tc>
          <w:tcPr>
            <w:tcW w:w="1985" w:type="dxa"/>
            <w:shd w:val="clear" w:color="auto" w:fill="FFFFFF" w:themeFill="background1"/>
          </w:tcPr>
          <w:p w14:paraId="53B31A89" w14:textId="56D5DA35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10.716,36</w:t>
            </w:r>
          </w:p>
        </w:tc>
      </w:tr>
      <w:tr w:rsidR="001273DB" w14:paraId="782D10AA" w14:textId="77777777" w:rsidTr="00DC1C97">
        <w:tc>
          <w:tcPr>
            <w:tcW w:w="922" w:type="dxa"/>
            <w:shd w:val="clear" w:color="auto" w:fill="FFFF00"/>
          </w:tcPr>
          <w:p w14:paraId="3A7FDA86" w14:textId="77777777" w:rsidR="001273DB" w:rsidRDefault="001273DB">
            <w:pPr>
              <w:pStyle w:val="Tijeloteksta"/>
              <w:ind w:left="72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7017" w:type="dxa"/>
            <w:shd w:val="clear" w:color="auto" w:fill="FFFF00"/>
          </w:tcPr>
          <w:p w14:paraId="0541D7E2" w14:textId="77777777" w:rsidR="001273DB" w:rsidRDefault="00000000" w:rsidP="00DC1C97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UKUPNO I.</w:t>
            </w:r>
          </w:p>
          <w:p w14:paraId="4EC88221" w14:textId="7BFDD21E" w:rsidR="00DC1C97" w:rsidRDefault="00DC1C97" w:rsidP="00DC1C97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985" w:type="dxa"/>
            <w:shd w:val="clear" w:color="auto" w:fill="FFFF00"/>
          </w:tcPr>
          <w:p w14:paraId="7D351329" w14:textId="382650FC" w:rsidR="001273DB" w:rsidRDefault="002D6C96" w:rsidP="00490697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13.316,36</w:t>
            </w:r>
          </w:p>
        </w:tc>
      </w:tr>
      <w:tr w:rsidR="00DC1C97" w14:paraId="27A0FA03" w14:textId="77777777" w:rsidTr="00DC1C97">
        <w:tc>
          <w:tcPr>
            <w:tcW w:w="922" w:type="dxa"/>
            <w:shd w:val="clear" w:color="auto" w:fill="DEEAF6" w:themeFill="accent1" w:themeFillTint="33"/>
          </w:tcPr>
          <w:p w14:paraId="6C2B94AF" w14:textId="77777777" w:rsidR="00DC1C97" w:rsidRDefault="00DC1C97" w:rsidP="0044548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lastRenderedPageBreak/>
              <w:t>R.BR.</w:t>
            </w:r>
          </w:p>
        </w:tc>
        <w:tc>
          <w:tcPr>
            <w:tcW w:w="7017" w:type="dxa"/>
            <w:shd w:val="clear" w:color="auto" w:fill="DEEAF6" w:themeFill="accent1" w:themeFillTint="33"/>
          </w:tcPr>
          <w:p w14:paraId="5EF3E8F2" w14:textId="77777777" w:rsidR="00DC1C97" w:rsidRDefault="00DC1C97" w:rsidP="0044548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OPIS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4E3C70FE" w14:textId="77777777" w:rsidR="00DC1C97" w:rsidRDefault="00DC1C97" w:rsidP="00445481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</w:t>
            </w:r>
          </w:p>
          <w:p w14:paraId="7FC79B62" w14:textId="77777777" w:rsidR="00DC1C97" w:rsidRDefault="00DC1C97" w:rsidP="0044548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EURIMA</w:t>
            </w:r>
          </w:p>
        </w:tc>
      </w:tr>
      <w:tr w:rsidR="001273DB" w14:paraId="4E4EFC67" w14:textId="77777777" w:rsidTr="00DC1C97">
        <w:tc>
          <w:tcPr>
            <w:tcW w:w="922" w:type="dxa"/>
            <w:shd w:val="clear" w:color="auto" w:fill="D9D9D9"/>
          </w:tcPr>
          <w:p w14:paraId="73E544DD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II.</w:t>
            </w:r>
          </w:p>
        </w:tc>
        <w:tc>
          <w:tcPr>
            <w:tcW w:w="9002" w:type="dxa"/>
            <w:gridSpan w:val="2"/>
            <w:shd w:val="clear" w:color="auto" w:fill="D9D9D9"/>
          </w:tcPr>
          <w:p w14:paraId="3D8FBCE9" w14:textId="77777777" w:rsidR="001273DB" w:rsidRDefault="0000000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PROGRAMI SUFINANCIRANJA – PROGRAM POTPORA U POLJOPRIVREDI</w:t>
            </w:r>
          </w:p>
        </w:tc>
      </w:tr>
      <w:tr w:rsidR="001273DB" w14:paraId="5BA1310A" w14:textId="77777777" w:rsidTr="00DC1C97">
        <w:tc>
          <w:tcPr>
            <w:tcW w:w="922" w:type="dxa"/>
            <w:shd w:val="clear" w:color="auto" w:fill="FFFFFF" w:themeFill="background1"/>
          </w:tcPr>
          <w:p w14:paraId="4735D961" w14:textId="77777777" w:rsidR="001273DB" w:rsidRDefault="001273DB">
            <w:pPr>
              <w:pStyle w:val="Tijeloteksta"/>
              <w:numPr>
                <w:ilvl w:val="0"/>
                <w:numId w:val="2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FF" w:themeFill="background1"/>
          </w:tcPr>
          <w:p w14:paraId="77E12F88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eastAsia="Calibri" w:hAnsi="Times New Roman"/>
                <w:lang w:val="hr-HR"/>
              </w:rPr>
              <w:t>Mjera 1: Potpore za umjetno osjemenjivanje goveda</w:t>
            </w:r>
          </w:p>
        </w:tc>
        <w:tc>
          <w:tcPr>
            <w:tcW w:w="1985" w:type="dxa"/>
            <w:shd w:val="clear" w:color="auto" w:fill="FFFFFF" w:themeFill="background1"/>
          </w:tcPr>
          <w:p w14:paraId="14E977AF" w14:textId="440643E2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2.654,00</w:t>
            </w:r>
          </w:p>
        </w:tc>
      </w:tr>
      <w:tr w:rsidR="001273DB" w14:paraId="21883098" w14:textId="77777777" w:rsidTr="00DC1C97">
        <w:tc>
          <w:tcPr>
            <w:tcW w:w="922" w:type="dxa"/>
            <w:shd w:val="clear" w:color="auto" w:fill="FFFFFF" w:themeFill="background1"/>
          </w:tcPr>
          <w:p w14:paraId="51E33CE0" w14:textId="77777777" w:rsidR="001273DB" w:rsidRDefault="001273DB">
            <w:pPr>
              <w:pStyle w:val="Tijeloteksta"/>
              <w:numPr>
                <w:ilvl w:val="0"/>
                <w:numId w:val="2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FF" w:themeFill="background1"/>
          </w:tcPr>
          <w:p w14:paraId="15A33AF7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bookmarkStart w:id="0" w:name="_Hlk488344811"/>
            <w:r>
              <w:rPr>
                <w:rFonts w:ascii="Times New Roman" w:eastAsia="Calibri" w:hAnsi="Times New Roman"/>
                <w:lang w:val="hr-HR"/>
              </w:rPr>
              <w:t xml:space="preserve">Mjera 3: </w:t>
            </w:r>
            <w:bookmarkEnd w:id="0"/>
            <w:r>
              <w:rPr>
                <w:rFonts w:ascii="Times New Roman" w:eastAsia="Calibri" w:hAnsi="Times New Roman"/>
                <w:lang w:val="hr-HR"/>
              </w:rPr>
              <w:t xml:space="preserve">Potpore za izgradnju plastenika/staklenika  </w:t>
            </w:r>
          </w:p>
        </w:tc>
        <w:tc>
          <w:tcPr>
            <w:tcW w:w="1985" w:type="dxa"/>
            <w:shd w:val="clear" w:color="auto" w:fill="FFFFFF" w:themeFill="background1"/>
          </w:tcPr>
          <w:p w14:paraId="3219C430" w14:textId="6F34A18B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</w:tr>
      <w:tr w:rsidR="001273DB" w14:paraId="7340AFE0" w14:textId="77777777" w:rsidTr="002D6C96">
        <w:trPr>
          <w:trHeight w:val="350"/>
        </w:trPr>
        <w:tc>
          <w:tcPr>
            <w:tcW w:w="922" w:type="dxa"/>
            <w:shd w:val="clear" w:color="auto" w:fill="FFFFFF" w:themeFill="background1"/>
          </w:tcPr>
          <w:p w14:paraId="00BCF1D1" w14:textId="77777777" w:rsidR="001273DB" w:rsidRDefault="001273DB">
            <w:pPr>
              <w:pStyle w:val="Tijeloteksta"/>
              <w:numPr>
                <w:ilvl w:val="0"/>
                <w:numId w:val="2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FF" w:themeFill="background1"/>
          </w:tcPr>
          <w:p w14:paraId="495A0ECF" w14:textId="77777777" w:rsidR="001273DB" w:rsidRDefault="00000000">
            <w:pPr>
              <w:pStyle w:val="Tijeloteksta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Mjera 5: Potpore za proizvodnju meda</w:t>
            </w:r>
          </w:p>
          <w:p w14:paraId="6B95940C" w14:textId="77777777" w:rsidR="002D6C96" w:rsidRDefault="002D6C96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5D883E" w14:textId="3B2DBE79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796,00</w:t>
            </w:r>
          </w:p>
        </w:tc>
      </w:tr>
      <w:tr w:rsidR="002D6C96" w14:paraId="68726667" w14:textId="77777777" w:rsidTr="00DC1C97">
        <w:trPr>
          <w:trHeight w:val="476"/>
        </w:trPr>
        <w:tc>
          <w:tcPr>
            <w:tcW w:w="922" w:type="dxa"/>
            <w:shd w:val="clear" w:color="auto" w:fill="FFFFFF" w:themeFill="background1"/>
          </w:tcPr>
          <w:p w14:paraId="7C33EC81" w14:textId="77777777" w:rsidR="002D6C96" w:rsidRDefault="002D6C96">
            <w:pPr>
              <w:pStyle w:val="Tijeloteksta"/>
              <w:numPr>
                <w:ilvl w:val="0"/>
                <w:numId w:val="2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FF" w:themeFill="background1"/>
          </w:tcPr>
          <w:p w14:paraId="6F051BC7" w14:textId="31CBA747" w:rsidR="002D6C96" w:rsidRDefault="002D6C96" w:rsidP="002D6C96">
            <w:pPr>
              <w:pStyle w:val="Tijeloteksta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Mjera 6: Potpore za navodnjavanje poljoprivrednih površina</w:t>
            </w:r>
          </w:p>
        </w:tc>
        <w:tc>
          <w:tcPr>
            <w:tcW w:w="1985" w:type="dxa"/>
            <w:shd w:val="clear" w:color="auto" w:fill="FFFFFF" w:themeFill="background1"/>
          </w:tcPr>
          <w:p w14:paraId="32079881" w14:textId="4B5467CF" w:rsidR="002D6C96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</w:tr>
      <w:tr w:rsidR="001273DB" w14:paraId="686F1687" w14:textId="77777777" w:rsidTr="00DC1C97">
        <w:tc>
          <w:tcPr>
            <w:tcW w:w="922" w:type="dxa"/>
            <w:shd w:val="clear" w:color="auto" w:fill="FFFF00"/>
          </w:tcPr>
          <w:p w14:paraId="13A82029" w14:textId="77777777" w:rsidR="001273DB" w:rsidRDefault="001273DB">
            <w:pPr>
              <w:pStyle w:val="Tijeloteksta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7017" w:type="dxa"/>
            <w:shd w:val="clear" w:color="auto" w:fill="FFFF00"/>
          </w:tcPr>
          <w:p w14:paraId="33E67B12" w14:textId="77777777" w:rsidR="001273DB" w:rsidRDefault="00000000">
            <w:pPr>
              <w:pStyle w:val="Tijeloteksta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Times New Roman" w:hAnsi="Times New Roman"/>
                <w:b/>
                <w:highlight w:val="yellow"/>
                <w:lang w:val="hr-HR"/>
              </w:rPr>
              <w:t>UKUPNO II.</w:t>
            </w:r>
          </w:p>
        </w:tc>
        <w:tc>
          <w:tcPr>
            <w:tcW w:w="1985" w:type="dxa"/>
            <w:shd w:val="clear" w:color="auto" w:fill="FFFF00"/>
          </w:tcPr>
          <w:p w14:paraId="2C0C2188" w14:textId="330595E6" w:rsidR="001273DB" w:rsidRPr="00E24498" w:rsidRDefault="002D6C96">
            <w:pPr>
              <w:pStyle w:val="Tijeloteksta"/>
              <w:jc w:val="right"/>
              <w:rPr>
                <w:rFonts w:ascii="Times New Roman" w:hAnsi="Times New Roman"/>
                <w:b/>
                <w:bCs/>
                <w:highlight w:val="yellow"/>
                <w:lang w:val="hr-HR"/>
              </w:rPr>
            </w:pPr>
            <w:r>
              <w:rPr>
                <w:rFonts w:ascii="Times New Roman" w:hAnsi="Times New Roman"/>
                <w:b/>
                <w:bCs/>
                <w:highlight w:val="yellow"/>
                <w:lang w:val="hr-HR"/>
              </w:rPr>
              <w:t>19.450,00</w:t>
            </w:r>
          </w:p>
        </w:tc>
      </w:tr>
      <w:tr w:rsidR="001273DB" w14:paraId="48129196" w14:textId="77777777" w:rsidTr="00DC1C97">
        <w:tc>
          <w:tcPr>
            <w:tcW w:w="922" w:type="dxa"/>
            <w:shd w:val="clear" w:color="auto" w:fill="BFBFBF" w:themeFill="background1" w:themeFillShade="BF"/>
          </w:tcPr>
          <w:p w14:paraId="08C014C2" w14:textId="77777777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III.</w:t>
            </w:r>
          </w:p>
        </w:tc>
        <w:tc>
          <w:tcPr>
            <w:tcW w:w="9002" w:type="dxa"/>
            <w:gridSpan w:val="2"/>
            <w:shd w:val="clear" w:color="auto" w:fill="BFBFBF" w:themeFill="background1" w:themeFillShade="BF"/>
          </w:tcPr>
          <w:p w14:paraId="4BE9168A" w14:textId="1963B502" w:rsidR="001273DB" w:rsidRDefault="0000000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PROGRAM UREĐENJA RURALNOG PROSTORA  IZGRADNJOM I ODRŽAVANJEM RURALNE INFRASTRUKTURE  </w:t>
            </w:r>
            <w:r w:rsidR="008A6910">
              <w:rPr>
                <w:rFonts w:ascii="Times New Roman" w:hAnsi="Times New Roman"/>
                <w:lang w:val="hr-HR"/>
              </w:rPr>
              <w:t>VEZANE ZA POLJOPRIVREDU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</w:p>
        </w:tc>
      </w:tr>
      <w:tr w:rsidR="001273DB" w14:paraId="025D442E" w14:textId="77777777" w:rsidTr="00DC1C97">
        <w:tc>
          <w:tcPr>
            <w:tcW w:w="922" w:type="dxa"/>
            <w:shd w:val="clear" w:color="auto" w:fill="auto"/>
          </w:tcPr>
          <w:p w14:paraId="0B67FF16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</w:p>
        </w:tc>
        <w:tc>
          <w:tcPr>
            <w:tcW w:w="7017" w:type="dxa"/>
            <w:shd w:val="clear" w:color="auto" w:fill="FFFFFF" w:themeFill="background1"/>
          </w:tcPr>
          <w:p w14:paraId="2FB1AF6F" w14:textId="7DF7AAA5" w:rsidR="001273DB" w:rsidRDefault="002D6C96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Izgradnja, rekonstrukcija i održavanje otresnica, putne i kanalske mreže, javnih površina i površina uz općinske objekte</w:t>
            </w:r>
          </w:p>
        </w:tc>
        <w:tc>
          <w:tcPr>
            <w:tcW w:w="1985" w:type="dxa"/>
          </w:tcPr>
          <w:p w14:paraId="4EA3F0E4" w14:textId="173AD371" w:rsidR="001273DB" w:rsidRDefault="002D6C96" w:rsidP="00E2449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7.491,04</w:t>
            </w:r>
          </w:p>
        </w:tc>
      </w:tr>
      <w:tr w:rsidR="001273DB" w14:paraId="60FDB8FB" w14:textId="77777777" w:rsidTr="00DC1C97">
        <w:tc>
          <w:tcPr>
            <w:tcW w:w="922" w:type="dxa"/>
            <w:shd w:val="clear" w:color="auto" w:fill="auto"/>
          </w:tcPr>
          <w:p w14:paraId="4F0D5B06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</w:p>
        </w:tc>
        <w:tc>
          <w:tcPr>
            <w:tcW w:w="7017" w:type="dxa"/>
            <w:shd w:val="clear" w:color="auto" w:fill="FFFFFF" w:themeFill="background1"/>
          </w:tcPr>
          <w:p w14:paraId="4E69C581" w14:textId="4B648272" w:rsidR="001273DB" w:rsidRDefault="002D6C96">
            <w:pPr>
              <w:pStyle w:val="Tijeloteksta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Nabava i postavljanje prometne signalizacije</w:t>
            </w:r>
          </w:p>
        </w:tc>
        <w:tc>
          <w:tcPr>
            <w:tcW w:w="1985" w:type="dxa"/>
            <w:shd w:val="clear" w:color="auto" w:fill="FFFFFF" w:themeFill="background1"/>
          </w:tcPr>
          <w:p w14:paraId="4ACACBEA" w14:textId="3D69BC75" w:rsidR="001273DB" w:rsidRDefault="002D6C96" w:rsidP="00E2449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730,92</w:t>
            </w:r>
          </w:p>
        </w:tc>
      </w:tr>
      <w:tr w:rsidR="001273DB" w14:paraId="194C43DD" w14:textId="77777777" w:rsidTr="00DC1C97">
        <w:tc>
          <w:tcPr>
            <w:tcW w:w="922" w:type="dxa"/>
            <w:shd w:val="clear" w:color="auto" w:fill="auto"/>
          </w:tcPr>
          <w:p w14:paraId="00AE6162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3</w:t>
            </w:r>
          </w:p>
        </w:tc>
        <w:tc>
          <w:tcPr>
            <w:tcW w:w="7017" w:type="dxa"/>
            <w:shd w:val="clear" w:color="auto" w:fill="FFFFFF" w:themeFill="background1"/>
          </w:tcPr>
          <w:p w14:paraId="3CDAAB2B" w14:textId="7FD17FA0" w:rsidR="001273DB" w:rsidRPr="00E24498" w:rsidRDefault="002D6C96">
            <w:pPr>
              <w:pStyle w:val="Tijeloteksta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Usluga skloništa za životinje</w:t>
            </w:r>
          </w:p>
        </w:tc>
        <w:tc>
          <w:tcPr>
            <w:tcW w:w="1985" w:type="dxa"/>
            <w:shd w:val="clear" w:color="auto" w:fill="FFFFFF" w:themeFill="background1"/>
          </w:tcPr>
          <w:p w14:paraId="2BE55DCD" w14:textId="43F7F41C" w:rsidR="001273DB" w:rsidRDefault="002D6C96" w:rsidP="00E24498">
            <w:pPr>
              <w:pStyle w:val="Tijeloteksta"/>
              <w:jc w:val="right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>1.698,25</w:t>
            </w:r>
          </w:p>
        </w:tc>
      </w:tr>
      <w:tr w:rsidR="001273DB" w14:paraId="50F34C8C" w14:textId="77777777" w:rsidTr="00DC1C97">
        <w:tc>
          <w:tcPr>
            <w:tcW w:w="922" w:type="dxa"/>
            <w:shd w:val="clear" w:color="auto" w:fill="FFFFFF" w:themeFill="background1"/>
          </w:tcPr>
          <w:p w14:paraId="1DD42637" w14:textId="77777777" w:rsidR="001273DB" w:rsidRDefault="00000000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</w:p>
        </w:tc>
        <w:tc>
          <w:tcPr>
            <w:tcW w:w="7017" w:type="dxa"/>
            <w:shd w:val="clear" w:color="auto" w:fill="FFFFFF" w:themeFill="background1"/>
          </w:tcPr>
          <w:p w14:paraId="76A374B2" w14:textId="79693078" w:rsidR="001273DB" w:rsidRDefault="002D6C96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strojeva i opreme za košnju javnih površina</w:t>
            </w:r>
          </w:p>
        </w:tc>
        <w:tc>
          <w:tcPr>
            <w:tcW w:w="1985" w:type="dxa"/>
            <w:shd w:val="clear" w:color="auto" w:fill="FFFFFF" w:themeFill="background1"/>
          </w:tcPr>
          <w:p w14:paraId="3776504C" w14:textId="5878374C" w:rsidR="001273DB" w:rsidRDefault="002D6C96" w:rsidP="00E2449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3.000,00</w:t>
            </w:r>
          </w:p>
        </w:tc>
      </w:tr>
      <w:tr w:rsidR="001273DB" w14:paraId="6DD9F997" w14:textId="77777777" w:rsidTr="007D34CE">
        <w:trPr>
          <w:trHeight w:val="259"/>
        </w:trPr>
        <w:tc>
          <w:tcPr>
            <w:tcW w:w="922" w:type="dxa"/>
            <w:shd w:val="clear" w:color="auto" w:fill="FFFFFF" w:themeFill="background1"/>
          </w:tcPr>
          <w:p w14:paraId="20CC8801" w14:textId="77777777" w:rsidR="001273DB" w:rsidRDefault="0000000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017" w:type="dxa"/>
            <w:shd w:val="clear" w:color="auto" w:fill="FFFFFF" w:themeFill="background1"/>
          </w:tcPr>
          <w:p w14:paraId="11A4D46B" w14:textId="5E940DD8" w:rsidR="001273DB" w:rsidRDefault="002D6C96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Održavanje javnih površina i groblja</w:t>
            </w:r>
          </w:p>
        </w:tc>
        <w:tc>
          <w:tcPr>
            <w:tcW w:w="1985" w:type="dxa"/>
            <w:shd w:val="clear" w:color="auto" w:fill="FFFFFF" w:themeFill="background1"/>
          </w:tcPr>
          <w:p w14:paraId="7B75B627" w14:textId="26ACB01C" w:rsidR="001273DB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</w:tr>
      <w:tr w:rsidR="001273DB" w14:paraId="76A9E26B" w14:textId="77777777" w:rsidTr="002D6C96">
        <w:trPr>
          <w:trHeight w:val="349"/>
        </w:trPr>
        <w:tc>
          <w:tcPr>
            <w:tcW w:w="922" w:type="dxa"/>
            <w:shd w:val="clear" w:color="auto" w:fill="FFFFFF" w:themeFill="background1"/>
          </w:tcPr>
          <w:p w14:paraId="5E4906C5" w14:textId="77777777" w:rsidR="001273DB" w:rsidRDefault="00000000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</w:t>
            </w:r>
          </w:p>
        </w:tc>
        <w:tc>
          <w:tcPr>
            <w:tcW w:w="7017" w:type="dxa"/>
            <w:shd w:val="clear" w:color="auto" w:fill="FFFFFF" w:themeFill="background1"/>
          </w:tcPr>
          <w:p w14:paraId="3295A994" w14:textId="0C78D7DD" w:rsidR="001273DB" w:rsidRDefault="002D6C96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i rekonstrukcija biciklističke infrastrukture</w:t>
            </w:r>
          </w:p>
        </w:tc>
        <w:tc>
          <w:tcPr>
            <w:tcW w:w="1985" w:type="dxa"/>
            <w:shd w:val="clear" w:color="auto" w:fill="FFFFFF" w:themeFill="background1"/>
          </w:tcPr>
          <w:p w14:paraId="00ECCF33" w14:textId="50889FEB" w:rsidR="001273DB" w:rsidRDefault="0048566E" w:rsidP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57.138,84</w:t>
            </w:r>
          </w:p>
          <w:p w14:paraId="32976FD4" w14:textId="64FC1D7D" w:rsidR="002D6C96" w:rsidRDefault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2D6C96" w14:paraId="4AADF659" w14:textId="77777777" w:rsidTr="002D6C96">
        <w:trPr>
          <w:trHeight w:val="402"/>
        </w:trPr>
        <w:tc>
          <w:tcPr>
            <w:tcW w:w="922" w:type="dxa"/>
            <w:shd w:val="clear" w:color="auto" w:fill="FFFFFF" w:themeFill="background1"/>
          </w:tcPr>
          <w:p w14:paraId="25FEDA15" w14:textId="70E28B8D" w:rsidR="002D6C96" w:rsidRDefault="002D6C96" w:rsidP="002D6C96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</w:t>
            </w:r>
          </w:p>
        </w:tc>
        <w:tc>
          <w:tcPr>
            <w:tcW w:w="7017" w:type="dxa"/>
            <w:shd w:val="clear" w:color="auto" w:fill="FFFFFF" w:themeFill="background1"/>
          </w:tcPr>
          <w:p w14:paraId="3D011B5D" w14:textId="10C60A8B" w:rsidR="002D6C96" w:rsidRDefault="002D6C96" w:rsidP="002D6C96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Dezinsekcija komaraca</w:t>
            </w:r>
          </w:p>
        </w:tc>
        <w:tc>
          <w:tcPr>
            <w:tcW w:w="1985" w:type="dxa"/>
            <w:shd w:val="clear" w:color="auto" w:fill="FFFFFF" w:themeFill="background1"/>
          </w:tcPr>
          <w:p w14:paraId="0ED08748" w14:textId="22F3E010" w:rsidR="002D6C96" w:rsidRDefault="002D6C96" w:rsidP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20.000,00</w:t>
            </w:r>
          </w:p>
          <w:p w14:paraId="6E83A06A" w14:textId="77777777" w:rsidR="002D6C96" w:rsidRDefault="002D6C96" w:rsidP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2D6C96" w14:paraId="4E295118" w14:textId="77777777" w:rsidTr="002D6C96">
        <w:trPr>
          <w:trHeight w:val="413"/>
        </w:trPr>
        <w:tc>
          <w:tcPr>
            <w:tcW w:w="922" w:type="dxa"/>
            <w:shd w:val="clear" w:color="auto" w:fill="FFFFFF" w:themeFill="background1"/>
          </w:tcPr>
          <w:p w14:paraId="77B0E61D" w14:textId="30EEAF7B" w:rsidR="002D6C96" w:rsidRDefault="002D6C96" w:rsidP="002D6C96">
            <w:pPr>
              <w:pStyle w:val="Tijeloteksta"/>
              <w:ind w:left="31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</w:t>
            </w:r>
          </w:p>
        </w:tc>
        <w:tc>
          <w:tcPr>
            <w:tcW w:w="7017" w:type="dxa"/>
            <w:shd w:val="clear" w:color="auto" w:fill="FFFFFF" w:themeFill="background1"/>
          </w:tcPr>
          <w:p w14:paraId="5878CD69" w14:textId="39F0C704" w:rsidR="002D6C96" w:rsidRDefault="002D6C96" w:rsidP="002D6C96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Strojno uklanjanje šiblja i raslinja uz poljske puteve</w:t>
            </w:r>
          </w:p>
        </w:tc>
        <w:tc>
          <w:tcPr>
            <w:tcW w:w="1985" w:type="dxa"/>
            <w:shd w:val="clear" w:color="auto" w:fill="FFFFFF" w:themeFill="background1"/>
          </w:tcPr>
          <w:p w14:paraId="2218EAA6" w14:textId="26FB537A" w:rsidR="002D6C96" w:rsidRDefault="002D6C96" w:rsidP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1.000,00</w:t>
            </w:r>
          </w:p>
          <w:p w14:paraId="2D6D1E1F" w14:textId="77777777" w:rsidR="002D6C96" w:rsidRDefault="002D6C96" w:rsidP="002D6C9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E24498" w14:paraId="19AC56C4" w14:textId="77777777" w:rsidTr="00EA5278">
        <w:trPr>
          <w:trHeight w:val="270"/>
        </w:trPr>
        <w:tc>
          <w:tcPr>
            <w:tcW w:w="922" w:type="dxa"/>
            <w:shd w:val="clear" w:color="auto" w:fill="FFFF00"/>
          </w:tcPr>
          <w:p w14:paraId="7AF8EDBC" w14:textId="1606F863" w:rsidR="00E24498" w:rsidRDefault="00E24498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FFF00"/>
            <w:vAlign w:val="bottom"/>
          </w:tcPr>
          <w:p w14:paraId="3AC52C79" w14:textId="2473B659" w:rsidR="00E24498" w:rsidRDefault="00E24498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  <w:lang w:val="hr-HR" w:eastAsia="hr-HR"/>
              </w:rPr>
              <w:t>UKUPNO III.</w:t>
            </w:r>
          </w:p>
        </w:tc>
        <w:tc>
          <w:tcPr>
            <w:tcW w:w="1985" w:type="dxa"/>
            <w:shd w:val="clear" w:color="auto" w:fill="FFFF00"/>
          </w:tcPr>
          <w:p w14:paraId="3947FC71" w14:textId="2DCCA91D" w:rsidR="00E24498" w:rsidRPr="00A21CC0" w:rsidRDefault="0048566E" w:rsidP="00E24498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93.059,05</w:t>
            </w:r>
          </w:p>
        </w:tc>
      </w:tr>
      <w:tr w:rsidR="00E24498" w14:paraId="00626111" w14:textId="77777777" w:rsidTr="00EA5278">
        <w:trPr>
          <w:trHeight w:val="390"/>
        </w:trPr>
        <w:tc>
          <w:tcPr>
            <w:tcW w:w="922" w:type="dxa"/>
            <w:shd w:val="clear" w:color="auto" w:fill="FBE4D5" w:themeFill="accent2" w:themeFillTint="33"/>
          </w:tcPr>
          <w:p w14:paraId="03895D45" w14:textId="062739A5" w:rsidR="00E24498" w:rsidRDefault="00E24498">
            <w:pPr>
              <w:pStyle w:val="Tijeloteksta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017" w:type="dxa"/>
            <w:shd w:val="clear" w:color="auto" w:fill="FBE4D5" w:themeFill="accent2" w:themeFillTint="33"/>
          </w:tcPr>
          <w:p w14:paraId="47CBDF28" w14:textId="29DB2318" w:rsidR="00E24498" w:rsidRDefault="00E24498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SVEUKUPNO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33CD91F" w14:textId="1AA0D781" w:rsidR="00E24498" w:rsidRPr="00A21CC0" w:rsidRDefault="0048566E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125.825,41</w:t>
            </w:r>
          </w:p>
        </w:tc>
      </w:tr>
    </w:tbl>
    <w:p w14:paraId="42978F20" w14:textId="77777777" w:rsidR="001273DB" w:rsidRDefault="001273DB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4B5AA55A" w14:textId="77777777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6F8648A8" w14:textId="77777777" w:rsidR="001273DB" w:rsidRDefault="001273DB">
      <w:pPr>
        <w:pStyle w:val="Tijeloteksta"/>
        <w:rPr>
          <w:rFonts w:ascii="Times New Roman" w:hAnsi="Times New Roman"/>
          <w:color w:val="000000"/>
          <w:lang w:val="hr-HR"/>
        </w:rPr>
      </w:pPr>
    </w:p>
    <w:p w14:paraId="0D9E4281" w14:textId="77777777" w:rsidR="001273DB" w:rsidRDefault="00000000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color w:val="000000"/>
          <w:lang w:val="hr-HR"/>
        </w:rPr>
        <w:t>Ovaj Program objavit će se u  „Službenom glasniku“ Općine Vladislavci.</w:t>
      </w:r>
    </w:p>
    <w:p w14:paraId="0B6A10E1" w14:textId="77777777" w:rsidR="001273DB" w:rsidRDefault="001273DB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F163C2F" w14:textId="336D89EE" w:rsidR="001273DB" w:rsidRDefault="00000000">
      <w:pPr>
        <w:pStyle w:val="Tijeloteksta"/>
        <w:rPr>
          <w:rFonts w:ascii="Times New Roman" w:hAnsi="Times New Roman"/>
          <w:lang w:val="hr-HR"/>
        </w:rPr>
      </w:pPr>
      <w:bookmarkStart w:id="1" w:name="_Hlk58500732"/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273702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-10/01</w:t>
      </w:r>
    </w:p>
    <w:bookmarkEnd w:id="1"/>
    <w:p w14:paraId="130FDCF9" w14:textId="222E8669" w:rsidR="001273DB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273702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-02</w:t>
      </w:r>
    </w:p>
    <w:p w14:paraId="629D06B6" w14:textId="22ABE297" w:rsidR="001273DB" w:rsidRDefault="00000000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Vladislavci, </w:t>
      </w:r>
      <w:r w:rsidR="00D6423E">
        <w:rPr>
          <w:rFonts w:ascii="Times New Roman" w:hAnsi="Times New Roman"/>
          <w:lang w:val="sv-SE"/>
        </w:rPr>
        <w:t>26</w:t>
      </w:r>
      <w:r w:rsidR="00273702">
        <w:rPr>
          <w:rFonts w:ascii="Times New Roman" w:hAnsi="Times New Roman"/>
          <w:lang w:val="sv-SE"/>
        </w:rPr>
        <w:t>. studeni</w:t>
      </w:r>
      <w:r>
        <w:rPr>
          <w:rFonts w:ascii="Times New Roman" w:hAnsi="Times New Roman"/>
          <w:lang w:val="sv-SE"/>
        </w:rPr>
        <w:t xml:space="preserve"> </w:t>
      </w:r>
      <w:r w:rsidR="00273702">
        <w:rPr>
          <w:rFonts w:ascii="Times New Roman" w:hAnsi="Times New Roman"/>
          <w:lang w:val="sv-SE"/>
        </w:rPr>
        <w:t>2024</w:t>
      </w:r>
      <w:r>
        <w:rPr>
          <w:rFonts w:ascii="Times New Roman" w:hAnsi="Times New Roman"/>
          <w:lang w:val="sv-SE"/>
        </w:rPr>
        <w:t xml:space="preserve">.  </w:t>
      </w:r>
    </w:p>
    <w:p w14:paraId="3D174E2E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421F214A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3F4CE0E9" w14:textId="5EF13DDD" w:rsidR="001273DB" w:rsidRDefault="00000000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  <w:r w:rsidR="00422487">
        <w:rPr>
          <w:rFonts w:ascii="Times New Roman" w:hAnsi="Times New Roman"/>
        </w:rPr>
        <w:t>, v. r.</w:t>
      </w:r>
    </w:p>
    <w:p w14:paraId="035D19FF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5BB0CD4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3E7D58B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3FF7F5A3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6973446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1BD34E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2A342BC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6C43DE5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2B5AAB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sectPr w:rsidR="001273DB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64BF" w14:textId="77777777" w:rsidR="000C0E45" w:rsidRDefault="000C0E45">
      <w:r>
        <w:separator/>
      </w:r>
    </w:p>
  </w:endnote>
  <w:endnote w:type="continuationSeparator" w:id="0">
    <w:p w14:paraId="24F9A6BD" w14:textId="77777777" w:rsidR="000C0E45" w:rsidRDefault="000C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3C29" w14:textId="77777777" w:rsidR="001273DB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CF9D17A" w14:textId="77777777" w:rsidR="001273DB" w:rsidRDefault="001273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AA28" w14:textId="77777777" w:rsidR="000C0E45" w:rsidRDefault="000C0E45">
      <w:r>
        <w:separator/>
      </w:r>
    </w:p>
  </w:footnote>
  <w:footnote w:type="continuationSeparator" w:id="0">
    <w:p w14:paraId="09184ABC" w14:textId="77777777" w:rsidR="000C0E45" w:rsidRDefault="000C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4EE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2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E3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EEF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EC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C42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AB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0C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E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12D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9785A"/>
    <w:multiLevelType w:val="hybridMultilevel"/>
    <w:tmpl w:val="E3C46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F16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5FCE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B2F49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33BE"/>
    <w:multiLevelType w:val="hybridMultilevel"/>
    <w:tmpl w:val="2EF02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E77521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709"/>
    <w:multiLevelType w:val="hybridMultilevel"/>
    <w:tmpl w:val="DF00C786"/>
    <w:lvl w:ilvl="0" w:tplc="45D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59248">
    <w:abstractNumId w:val="14"/>
  </w:num>
  <w:num w:numId="2" w16cid:durableId="1818565892">
    <w:abstractNumId w:val="17"/>
  </w:num>
  <w:num w:numId="3" w16cid:durableId="357239392">
    <w:abstractNumId w:val="20"/>
  </w:num>
  <w:num w:numId="4" w16cid:durableId="1172256204">
    <w:abstractNumId w:val="13"/>
  </w:num>
  <w:num w:numId="5" w16cid:durableId="2076509901">
    <w:abstractNumId w:val="9"/>
  </w:num>
  <w:num w:numId="6" w16cid:durableId="690376045">
    <w:abstractNumId w:val="7"/>
  </w:num>
  <w:num w:numId="7" w16cid:durableId="703672684">
    <w:abstractNumId w:val="6"/>
  </w:num>
  <w:num w:numId="8" w16cid:durableId="398330774">
    <w:abstractNumId w:val="5"/>
  </w:num>
  <w:num w:numId="9" w16cid:durableId="244262644">
    <w:abstractNumId w:val="4"/>
  </w:num>
  <w:num w:numId="10" w16cid:durableId="1671525248">
    <w:abstractNumId w:val="8"/>
  </w:num>
  <w:num w:numId="11" w16cid:durableId="51538577">
    <w:abstractNumId w:val="3"/>
  </w:num>
  <w:num w:numId="12" w16cid:durableId="675425735">
    <w:abstractNumId w:val="2"/>
  </w:num>
  <w:num w:numId="13" w16cid:durableId="2037731509">
    <w:abstractNumId w:val="1"/>
  </w:num>
  <w:num w:numId="14" w16cid:durableId="3098072">
    <w:abstractNumId w:val="0"/>
  </w:num>
  <w:num w:numId="15" w16cid:durableId="363485290">
    <w:abstractNumId w:val="19"/>
  </w:num>
  <w:num w:numId="16" w16cid:durableId="363213500">
    <w:abstractNumId w:val="16"/>
  </w:num>
  <w:num w:numId="17" w16cid:durableId="523520611">
    <w:abstractNumId w:val="10"/>
  </w:num>
  <w:num w:numId="18" w16cid:durableId="1631087762">
    <w:abstractNumId w:val="11"/>
  </w:num>
  <w:num w:numId="19" w16cid:durableId="561872627">
    <w:abstractNumId w:val="18"/>
  </w:num>
  <w:num w:numId="20" w16cid:durableId="1336955384">
    <w:abstractNumId w:val="15"/>
  </w:num>
  <w:num w:numId="21" w16cid:durableId="1940528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B"/>
    <w:rsid w:val="00003C29"/>
    <w:rsid w:val="00052E1A"/>
    <w:rsid w:val="000C0E45"/>
    <w:rsid w:val="001273DB"/>
    <w:rsid w:val="00160AF8"/>
    <w:rsid w:val="00194EE1"/>
    <w:rsid w:val="00255D73"/>
    <w:rsid w:val="00273702"/>
    <w:rsid w:val="002A2D63"/>
    <w:rsid w:val="002D6C96"/>
    <w:rsid w:val="003023C2"/>
    <w:rsid w:val="00422487"/>
    <w:rsid w:val="0045726A"/>
    <w:rsid w:val="0048566E"/>
    <w:rsid w:val="00490697"/>
    <w:rsid w:val="004D31E3"/>
    <w:rsid w:val="005275A2"/>
    <w:rsid w:val="005A0908"/>
    <w:rsid w:val="005B394D"/>
    <w:rsid w:val="007B458A"/>
    <w:rsid w:val="007D34CE"/>
    <w:rsid w:val="007E27F9"/>
    <w:rsid w:val="008A6910"/>
    <w:rsid w:val="00911FC4"/>
    <w:rsid w:val="00975D35"/>
    <w:rsid w:val="00A01671"/>
    <w:rsid w:val="00A21CC0"/>
    <w:rsid w:val="00A5576C"/>
    <w:rsid w:val="00BC61E4"/>
    <w:rsid w:val="00C03262"/>
    <w:rsid w:val="00C353A9"/>
    <w:rsid w:val="00CE605D"/>
    <w:rsid w:val="00D6423E"/>
    <w:rsid w:val="00DB75BA"/>
    <w:rsid w:val="00DC1C97"/>
    <w:rsid w:val="00DC23BE"/>
    <w:rsid w:val="00E24498"/>
    <w:rsid w:val="00E25EC1"/>
    <w:rsid w:val="00E77FDC"/>
    <w:rsid w:val="00E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D2895"/>
  <w15:chartTrackingRefBased/>
  <w15:docId w15:val="{CEF8BE3E-2C6C-47CD-8548-E0E77684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36</cp:revision>
  <cp:lastPrinted>2024-11-22T08:41:00Z</cp:lastPrinted>
  <dcterms:created xsi:type="dcterms:W3CDTF">2022-11-11T09:47:00Z</dcterms:created>
  <dcterms:modified xsi:type="dcterms:W3CDTF">2024-11-22T09:47:00Z</dcterms:modified>
</cp:coreProperties>
</file>