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06C640" w14:textId="77777777" w:rsidR="007903A6" w:rsidRDefault="007903A6" w:rsidP="006063D0">
      <w:pPr>
        <w:spacing w:line="276" w:lineRule="auto"/>
        <w:ind w:firstLine="709"/>
        <w:jc w:val="both"/>
      </w:pPr>
      <w:bookmarkStart w:id="0" w:name="_Hlk186700173"/>
    </w:p>
    <w:tbl>
      <w:tblPr>
        <w:tblW w:w="5253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26"/>
      </w:tblGrid>
      <w:tr w:rsidR="007903A6" w:rsidRPr="00D9075D" w14:paraId="4EBA949B" w14:textId="77777777" w:rsidTr="00827E12">
        <w:trPr>
          <w:trHeight w:val="1913"/>
        </w:trPr>
        <w:tc>
          <w:tcPr>
            <w:tcW w:w="10125" w:type="dxa"/>
            <w:tcBorders>
              <w:top w:val="nil"/>
              <w:left w:val="nil"/>
              <w:right w:val="nil"/>
            </w:tcBorders>
            <w:hideMark/>
          </w:tcPr>
          <w:p w14:paraId="56E9CC13" w14:textId="77777777" w:rsidR="007903A6" w:rsidRPr="00D9075D" w:rsidRDefault="007903A6" w:rsidP="00827E12">
            <w:pPr>
              <w:spacing w:line="276" w:lineRule="auto"/>
              <w:contextualSpacing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6E3CA82" wp14:editId="6DB7547E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328825</wp:posOffset>
                  </wp:positionV>
                  <wp:extent cx="899160" cy="1003935"/>
                  <wp:effectExtent l="0" t="0" r="0" b="5715"/>
                  <wp:wrapNone/>
                  <wp:docPr id="121711853" name="Slika 121711853" descr="Slika na kojoj se prikazuje emblem, simbol, grb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emblem, simbol, grb, logotip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JAVNA VATROGASNA POSTROJBA ČEPIN</w:t>
            </w:r>
          </w:p>
          <w:p w14:paraId="6246C7C5" w14:textId="77777777" w:rsidR="007903A6" w:rsidRPr="00DA65A2" w:rsidRDefault="007903A6" w:rsidP="00827E12">
            <w:pPr>
              <w:spacing w:before="120" w:line="276" w:lineRule="auto"/>
              <w:ind w:left="1576"/>
            </w:pPr>
            <w:r w:rsidRPr="00DA65A2">
              <w:t>Kralja Zvonimira 105, 31431 Čepin</w:t>
            </w:r>
          </w:p>
          <w:p w14:paraId="506ACCB9" w14:textId="77777777" w:rsidR="007903A6" w:rsidRPr="00DA65A2" w:rsidRDefault="007903A6" w:rsidP="00827E12">
            <w:pPr>
              <w:spacing w:line="276" w:lineRule="auto"/>
              <w:ind w:left="1586"/>
              <w:jc w:val="both"/>
              <w:rPr>
                <w:rStyle w:val="Hiperveza"/>
                <w:b/>
              </w:rPr>
            </w:pPr>
            <w:r w:rsidRPr="00DA65A2">
              <w:rPr>
                <w:b/>
              </w:rPr>
              <w:t xml:space="preserve">WWW: </w:t>
            </w:r>
            <w:hyperlink r:id="rId9" w:history="1">
              <w:r w:rsidRPr="00DA65A2">
                <w:rPr>
                  <w:rStyle w:val="Hiperveza"/>
                </w:rPr>
                <w:t>www.jvpčepin.hr</w:t>
              </w:r>
            </w:hyperlink>
          </w:p>
          <w:p w14:paraId="2C3CAE39" w14:textId="77777777" w:rsidR="007903A6" w:rsidRPr="00DA65A2" w:rsidRDefault="007903A6" w:rsidP="00827E12">
            <w:pPr>
              <w:spacing w:line="276" w:lineRule="auto"/>
              <w:ind w:left="1586"/>
              <w:rPr>
                <w:b/>
              </w:rPr>
            </w:pPr>
            <w:r w:rsidRPr="00DA65A2">
              <w:rPr>
                <w:b/>
              </w:rPr>
              <w:t>e-mail</w:t>
            </w:r>
            <w:r w:rsidRPr="00DA65A2">
              <w:t xml:space="preserve">: </w:t>
            </w:r>
            <w:hyperlink r:id="rId10" w:history="1">
              <w:r w:rsidRPr="00DA65A2">
                <w:rPr>
                  <w:rStyle w:val="Hiperveza"/>
                </w:rPr>
                <w:t>jvpcepin@gmail.com</w:t>
              </w:r>
            </w:hyperlink>
          </w:p>
          <w:p w14:paraId="2EF49275" w14:textId="77777777" w:rsidR="007903A6" w:rsidRPr="00DA65A2" w:rsidRDefault="007903A6" w:rsidP="00827E12">
            <w:pPr>
              <w:spacing w:line="276" w:lineRule="auto"/>
              <w:ind w:left="1586"/>
              <w:jc w:val="both"/>
            </w:pPr>
            <w:r w:rsidRPr="00DA65A2">
              <w:rPr>
                <w:b/>
              </w:rPr>
              <w:t>OIB</w:t>
            </w:r>
            <w:r w:rsidRPr="00DA65A2">
              <w:t>: 92100870169</w:t>
            </w:r>
            <w:r w:rsidRPr="00DA65A2">
              <w:rPr>
                <w:b/>
              </w:rPr>
              <w:t xml:space="preserve">      MBS: </w:t>
            </w:r>
            <w:r w:rsidRPr="00DA65A2">
              <w:t>05037263</w:t>
            </w:r>
          </w:p>
          <w:p w14:paraId="77A34C7F" w14:textId="77777777" w:rsidR="007903A6" w:rsidRPr="00D9075D" w:rsidRDefault="007903A6" w:rsidP="00827E12">
            <w:pPr>
              <w:spacing w:line="276" w:lineRule="auto"/>
              <w:ind w:left="1586"/>
              <w:jc w:val="both"/>
              <w:rPr>
                <w:b/>
                <w:kern w:val="2"/>
                <w:sz w:val="28"/>
                <w:szCs w:val="28"/>
              </w:rPr>
            </w:pPr>
            <w:r w:rsidRPr="00DA65A2">
              <w:rPr>
                <w:b/>
              </w:rPr>
              <w:t xml:space="preserve">IBAN: </w:t>
            </w:r>
            <w:r w:rsidRPr="00DA65A2">
              <w:rPr>
                <w:bCs/>
              </w:rPr>
              <w:t>HR45 2484 0081 1351 0100 8</w:t>
            </w:r>
          </w:p>
        </w:tc>
      </w:tr>
    </w:tbl>
    <w:p w14:paraId="4487840A" w14:textId="77777777" w:rsidR="007903A6" w:rsidRDefault="007903A6" w:rsidP="006063D0">
      <w:pPr>
        <w:spacing w:line="276" w:lineRule="auto"/>
        <w:ind w:firstLine="709"/>
        <w:jc w:val="both"/>
      </w:pPr>
    </w:p>
    <w:p w14:paraId="5DB4B2FF" w14:textId="77777777" w:rsidR="007903A6" w:rsidRDefault="007903A6" w:rsidP="007903A6">
      <w:pPr>
        <w:spacing w:line="276" w:lineRule="auto"/>
        <w:rPr>
          <w:b/>
          <w:bCs/>
          <w:szCs w:val="28"/>
        </w:rPr>
      </w:pPr>
    </w:p>
    <w:p w14:paraId="66F6AFAA" w14:textId="069D5AE5" w:rsidR="007903A6" w:rsidRDefault="007903A6" w:rsidP="007903A6">
      <w:pPr>
        <w:spacing w:line="276" w:lineRule="auto"/>
        <w:rPr>
          <w:b/>
          <w:bCs/>
          <w:kern w:val="2"/>
          <w:szCs w:val="28"/>
        </w:rPr>
      </w:pPr>
      <w:r>
        <w:rPr>
          <w:b/>
          <w:bCs/>
          <w:szCs w:val="28"/>
        </w:rPr>
        <w:t>KLASA: 400-02/24-01/3</w:t>
      </w:r>
    </w:p>
    <w:p w14:paraId="708F1F70" w14:textId="07CF01BF" w:rsidR="007903A6" w:rsidRDefault="007903A6" w:rsidP="007903A6">
      <w:pPr>
        <w:spacing w:line="276" w:lineRule="auto"/>
        <w:jc w:val="both"/>
      </w:pPr>
      <w:r>
        <w:rPr>
          <w:b/>
          <w:bCs/>
          <w:szCs w:val="28"/>
        </w:rPr>
        <w:t>URBROJ: 2158-12-3-03-24-1</w:t>
      </w:r>
      <w:r>
        <w:rPr>
          <w:b/>
          <w:bCs/>
          <w:szCs w:val="28"/>
        </w:rPr>
        <w:t xml:space="preserve">                                                                       </w:t>
      </w:r>
      <w:r w:rsidRPr="007903A6">
        <w:t xml:space="preserve"> </w:t>
      </w:r>
      <w:r w:rsidRPr="007903A6">
        <w:rPr>
          <w:b/>
          <w:bCs/>
          <w:szCs w:val="28"/>
        </w:rPr>
        <w:t>Čepin, 5. prosinca 2024</w:t>
      </w:r>
      <w:r>
        <w:rPr>
          <w:b/>
          <w:bCs/>
          <w:szCs w:val="28"/>
        </w:rPr>
        <w:t>.</w:t>
      </w:r>
    </w:p>
    <w:p w14:paraId="082D2708" w14:textId="77777777" w:rsidR="007903A6" w:rsidRDefault="007903A6" w:rsidP="006063D0">
      <w:pPr>
        <w:spacing w:line="276" w:lineRule="auto"/>
        <w:ind w:firstLine="709"/>
        <w:jc w:val="both"/>
      </w:pPr>
    </w:p>
    <w:p w14:paraId="65AE206A" w14:textId="77777777" w:rsidR="007903A6" w:rsidRDefault="007903A6" w:rsidP="006063D0">
      <w:pPr>
        <w:spacing w:line="276" w:lineRule="auto"/>
        <w:ind w:firstLine="709"/>
        <w:jc w:val="both"/>
      </w:pPr>
    </w:p>
    <w:p w14:paraId="7E3957F0" w14:textId="77777777" w:rsidR="007903A6" w:rsidRDefault="007903A6" w:rsidP="006063D0">
      <w:pPr>
        <w:spacing w:line="276" w:lineRule="auto"/>
        <w:ind w:firstLine="709"/>
        <w:jc w:val="both"/>
      </w:pPr>
    </w:p>
    <w:p w14:paraId="17F58D7E" w14:textId="77777777" w:rsidR="007903A6" w:rsidRDefault="007903A6" w:rsidP="006063D0">
      <w:pPr>
        <w:spacing w:line="276" w:lineRule="auto"/>
        <w:ind w:firstLine="709"/>
        <w:jc w:val="both"/>
      </w:pPr>
    </w:p>
    <w:p w14:paraId="720539BF" w14:textId="77777777" w:rsidR="007903A6" w:rsidRDefault="007903A6" w:rsidP="006063D0">
      <w:pPr>
        <w:spacing w:line="276" w:lineRule="auto"/>
        <w:ind w:firstLine="709"/>
        <w:jc w:val="both"/>
      </w:pPr>
    </w:p>
    <w:p w14:paraId="6923E5E7" w14:textId="4241D13F" w:rsidR="0049626F" w:rsidRDefault="008E5F2B" w:rsidP="006063D0">
      <w:pPr>
        <w:spacing w:line="276" w:lineRule="auto"/>
        <w:ind w:firstLine="709"/>
        <w:jc w:val="both"/>
      </w:pPr>
      <w:r w:rsidRPr="008E5F2B">
        <w:t>Na temelju članka 28. Statuta Javne vatrogasne postrojba Čepin (</w:t>
      </w:r>
      <w:proofErr w:type="spellStart"/>
      <w:r w:rsidRPr="008E5F2B">
        <w:t>Ur</w:t>
      </w:r>
      <w:proofErr w:type="spellEnd"/>
      <w:r w:rsidRPr="008E5F2B">
        <w:t xml:space="preserve">. broj: 77-02/2021 od 20. travnja 2021. godine), Vatrogasno vijeće Javne vatrogasne postrojbe Čepin na svojoj </w:t>
      </w:r>
      <w:r w:rsidR="00EC0584">
        <w:t xml:space="preserve">36. </w:t>
      </w:r>
      <w:r w:rsidRPr="008E5F2B">
        <w:t xml:space="preserve">sjednici utvrdilo je prijedlog </w:t>
      </w:r>
      <w:r>
        <w:t xml:space="preserve">Plana rada s </w:t>
      </w:r>
      <w:r w:rsidRPr="008E5F2B">
        <w:t>Financijskim planom Javne vatrogasne postrojbe Čepin za 202</w:t>
      </w:r>
      <w:r w:rsidR="006063D0">
        <w:t>5</w:t>
      </w:r>
      <w:r w:rsidRPr="008E5F2B">
        <w:t>. godinu i upućuje ga Osnivačima na prethodnu suglasnost</w:t>
      </w:r>
    </w:p>
    <w:p w14:paraId="0F344172" w14:textId="77777777" w:rsidR="008E5F2B" w:rsidRDefault="008E5F2B" w:rsidP="008E5F2B">
      <w:pPr>
        <w:ind w:firstLine="709"/>
        <w:jc w:val="both"/>
      </w:pPr>
    </w:p>
    <w:p w14:paraId="005E2DBB" w14:textId="77777777" w:rsidR="008E5F2B" w:rsidRPr="003E7565" w:rsidRDefault="008E5F2B" w:rsidP="008E5F2B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Prijedlog p</w:t>
      </w:r>
      <w:r w:rsidRPr="003E7565">
        <w:rPr>
          <w:rFonts w:cs="Times New Roman"/>
          <w:b/>
        </w:rPr>
        <w:t>rogram</w:t>
      </w:r>
      <w:r>
        <w:rPr>
          <w:rFonts w:cs="Times New Roman"/>
          <w:b/>
        </w:rPr>
        <w:t>a</w:t>
      </w:r>
      <w:r w:rsidRPr="003E7565">
        <w:rPr>
          <w:rFonts w:cs="Times New Roman"/>
          <w:b/>
        </w:rPr>
        <w:t xml:space="preserve"> rada</w:t>
      </w:r>
    </w:p>
    <w:p w14:paraId="380D0EAA" w14:textId="77777777" w:rsidR="008E5F2B" w:rsidRPr="003E7565" w:rsidRDefault="008E5F2B" w:rsidP="008E5F2B">
      <w:pPr>
        <w:spacing w:line="276" w:lineRule="auto"/>
        <w:jc w:val="center"/>
        <w:rPr>
          <w:rFonts w:cs="Times New Roman"/>
          <w:b/>
        </w:rPr>
      </w:pPr>
      <w:r w:rsidRPr="003E7565">
        <w:rPr>
          <w:rFonts w:cs="Times New Roman"/>
          <w:b/>
        </w:rPr>
        <w:t xml:space="preserve">s </w:t>
      </w:r>
      <w:r>
        <w:rPr>
          <w:rFonts w:cs="Times New Roman"/>
          <w:b/>
        </w:rPr>
        <w:t>F</w:t>
      </w:r>
      <w:r w:rsidRPr="003E7565">
        <w:rPr>
          <w:rFonts w:cs="Times New Roman"/>
          <w:b/>
        </w:rPr>
        <w:t>inancijskim planom Javne vatrogasne postrojbe Čepin</w:t>
      </w:r>
    </w:p>
    <w:p w14:paraId="67F85E48" w14:textId="063D6D82" w:rsidR="008E5F2B" w:rsidRPr="003E7565" w:rsidRDefault="008E5F2B" w:rsidP="008E5F2B">
      <w:pPr>
        <w:spacing w:line="276" w:lineRule="auto"/>
        <w:jc w:val="center"/>
        <w:rPr>
          <w:rFonts w:cs="Times New Roman"/>
          <w:b/>
        </w:rPr>
      </w:pPr>
      <w:r w:rsidRPr="003E7565">
        <w:rPr>
          <w:rFonts w:cs="Times New Roman"/>
          <w:b/>
        </w:rPr>
        <w:t>za 202</w:t>
      </w:r>
      <w:r w:rsidR="006063D0">
        <w:rPr>
          <w:rFonts w:cs="Times New Roman"/>
          <w:b/>
        </w:rPr>
        <w:t>5</w:t>
      </w:r>
      <w:r w:rsidRPr="003E7565">
        <w:rPr>
          <w:rFonts w:cs="Times New Roman"/>
          <w:b/>
        </w:rPr>
        <w:t>. godinu</w:t>
      </w:r>
    </w:p>
    <w:p w14:paraId="3E45E62B" w14:textId="77777777" w:rsidR="008E5F2B" w:rsidRPr="003E7565" w:rsidRDefault="008E5F2B" w:rsidP="008E5F2B">
      <w:pPr>
        <w:spacing w:line="276" w:lineRule="auto"/>
        <w:rPr>
          <w:rFonts w:cs="Times New Roman"/>
          <w:b/>
        </w:rPr>
      </w:pPr>
    </w:p>
    <w:p w14:paraId="1A9BDCAF" w14:textId="71C83516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Program rada za 202</w:t>
      </w:r>
      <w:r w:rsidR="006063D0">
        <w:rPr>
          <w:rFonts w:cs="Times New Roman"/>
        </w:rPr>
        <w:t>5</w:t>
      </w:r>
      <w:r w:rsidRPr="003E7565">
        <w:rPr>
          <w:rFonts w:cs="Times New Roman"/>
        </w:rPr>
        <w:t>. godinu temelji se na iskustvima iz rada Javne vatrogasne postrojbe Čepin te na zahtjevima iz Procjene ugroženosti od požara i tehnoloških eksplozija za Općinu Čepin, Procjene ugroženosti od požara i tehnoloških eksplozija za Općinu Vladislavci, Procjene ugroženosti od požara i tehnoloških eksplozija za Općinu Vuka, Plana zaštite od požara za Općinu Čepin, Plana zaštite od požara za Općinu Vladislavci i Plana zaštite od požara za Općinu Vuka</w:t>
      </w:r>
      <w:r w:rsidR="006063D0">
        <w:rPr>
          <w:rFonts w:cs="Times New Roman"/>
        </w:rPr>
        <w:t xml:space="preserve"> te ostalih zakonskim i podzakonskih akata</w:t>
      </w:r>
      <w:r w:rsidRPr="003E7565">
        <w:rPr>
          <w:rFonts w:cs="Times New Roman"/>
        </w:rPr>
        <w:t>.</w:t>
      </w:r>
    </w:p>
    <w:p w14:paraId="686DEFFA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5C9C31D2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Osnovna djelatnost</w:t>
      </w:r>
    </w:p>
    <w:p w14:paraId="6F30239F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Javna vatrogasna postrojba Čepin (u daljnjem tekstu JVP Čepin) organizira svoj rad kao javna ustanova za obavljanje vatrogasne djelatnosti kao stručne i humanitarne djelatnosti na području Općina Čepin, Vladislavci i Vuka, sukladno Zakonu o ustanovama, Zakonu o vatrogastvu i Zakonu o lokalnoj i područnoj (regionalnoj) samoupravi.</w:t>
      </w:r>
    </w:p>
    <w:p w14:paraId="24D37EE7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  <w:r w:rsidRPr="003E7565">
        <w:rPr>
          <w:rFonts w:cs="Times New Roman"/>
        </w:rPr>
        <w:tab/>
        <w:t>JVP Čepin osnovana je radi sudjelovanja u provedbi preventivnih mjera zaštite od požara i eksplozija, gašenja požara i spašavanja ljudi i imovine ugroženih požarom i eksplozijom, pružanja tehničke pomoći u nezgodama i opasnim situacijama, obavljanja drugih poslova u ekološkim i inim nesrećama, održavanja i servisiranja vatrogasnih aparata za gašenje požara, održavanja vatrogasne tehnike za dobrovoljna vatrogasna društva, usluga ispumpavanja vode, usluga prijevoza vode za domaćinstva, fizičke i pravne osobe te ostale poslove utvrđene zakonskim propisima.</w:t>
      </w:r>
    </w:p>
    <w:p w14:paraId="60B82C5F" w14:textId="43DD7886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  <w:r w:rsidRPr="003E7565">
        <w:rPr>
          <w:rFonts w:cs="Times New Roman"/>
        </w:rPr>
        <w:tab/>
        <w:t xml:space="preserve">JVP Čepin može sudjelovati na vatrogasnim intervencijama i izvan područja svog djelovanja </w:t>
      </w:r>
      <w:r w:rsidRPr="003E7565">
        <w:rPr>
          <w:rFonts w:cs="Times New Roman"/>
        </w:rPr>
        <w:lastRenderedPageBreak/>
        <w:t xml:space="preserve">(Općina Čepin, Općina Vladislavci i Općina Vuka) </w:t>
      </w:r>
      <w:r w:rsidR="00497C20">
        <w:rPr>
          <w:rFonts w:cs="Times New Roman"/>
        </w:rPr>
        <w:t xml:space="preserve">u slučajevima </w:t>
      </w:r>
      <w:r w:rsidRPr="003E7565">
        <w:rPr>
          <w:rFonts w:cs="Times New Roman"/>
        </w:rPr>
        <w:t>određen</w:t>
      </w:r>
      <w:r w:rsidR="00497C20">
        <w:rPr>
          <w:rFonts w:cs="Times New Roman"/>
        </w:rPr>
        <w:t>ima</w:t>
      </w:r>
      <w:r w:rsidRPr="003E7565">
        <w:rPr>
          <w:rFonts w:cs="Times New Roman"/>
        </w:rPr>
        <w:t xml:space="preserve"> zakonom ili kada osnivači s drugim jedinicama lokalne samouprave sklope sporazum o </w:t>
      </w:r>
      <w:proofErr w:type="spellStart"/>
      <w:r w:rsidRPr="003E7565">
        <w:rPr>
          <w:rFonts w:cs="Times New Roman"/>
        </w:rPr>
        <w:t>suosnivanju</w:t>
      </w:r>
      <w:proofErr w:type="spellEnd"/>
      <w:r w:rsidRPr="003E7565">
        <w:rPr>
          <w:rFonts w:cs="Times New Roman"/>
        </w:rPr>
        <w:t xml:space="preserve"> JVP Čepin.</w:t>
      </w:r>
    </w:p>
    <w:p w14:paraId="148B2B28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3A034D90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Organizacijske mjere</w:t>
      </w:r>
    </w:p>
    <w:p w14:paraId="2BC35159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Struktura djelatnika</w:t>
      </w:r>
    </w:p>
    <w:p w14:paraId="6CD3D1A0" w14:textId="77777777" w:rsidR="006063D0" w:rsidRDefault="008E5F2B" w:rsidP="006063D0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Sukladno Planu zaštite od požara Općina Osnivača, JVP Čepin postrojba je „vrste 1“ odnosno JVP s jednim vozačem u smjeni, koja broji najmanje 13 operativnih vatrogasaca i zapovjednik. </w:t>
      </w:r>
      <w:r w:rsidR="006063D0" w:rsidRPr="006063D0">
        <w:rPr>
          <w:rFonts w:cs="Times New Roman"/>
        </w:rPr>
        <w:t xml:space="preserve">Sukladno Pravilniku o klasifikaciji postrojbi i koeficijentima složenosti poslova te radnih mjesta i mjerila za utvrđivanje radnih mjesta vatrogasaca JVP Čepin je klasificirana kao kategorija IV. – vatrogasne postrojbe do uključivo 42 profesionalno zaposlena vatrogasca »Vrsta </w:t>
      </w:r>
      <w:proofErr w:type="spellStart"/>
      <w:r w:rsidR="006063D0" w:rsidRPr="006063D0">
        <w:rPr>
          <w:rFonts w:cs="Times New Roman"/>
        </w:rPr>
        <w:t>Ia</w:t>
      </w:r>
      <w:proofErr w:type="spellEnd"/>
      <w:r w:rsidR="006063D0" w:rsidRPr="006063D0">
        <w:rPr>
          <w:rFonts w:cs="Times New Roman"/>
        </w:rPr>
        <w:t xml:space="preserve">«, »Vrsta </w:t>
      </w:r>
      <w:proofErr w:type="spellStart"/>
      <w:r w:rsidR="006063D0" w:rsidRPr="006063D0">
        <w:rPr>
          <w:rFonts w:cs="Times New Roman"/>
        </w:rPr>
        <w:t>Ib</w:t>
      </w:r>
      <w:proofErr w:type="spellEnd"/>
      <w:r w:rsidR="006063D0" w:rsidRPr="006063D0">
        <w:rPr>
          <w:rFonts w:cs="Times New Roman"/>
        </w:rPr>
        <w:t>« i »Vrsta II« koji profesionalno obavljaju vatrogasnu djelatnost.</w:t>
      </w:r>
      <w:r w:rsidR="006063D0">
        <w:rPr>
          <w:rFonts w:cs="Times New Roman"/>
        </w:rPr>
        <w:t xml:space="preserve"> </w:t>
      </w:r>
      <w:r w:rsidR="006063D0" w:rsidRPr="006063D0">
        <w:rPr>
          <w:rFonts w:cs="Times New Roman"/>
        </w:rPr>
        <w:t>Točnije određivanje vrste postrojbe biti će napravljeno sukladno podzakonskim propisima.</w:t>
      </w:r>
    </w:p>
    <w:p w14:paraId="7F149A78" w14:textId="61935940" w:rsidR="008E5F2B" w:rsidRPr="003E7565" w:rsidRDefault="008E5F2B" w:rsidP="006063D0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Od 14 djelatnika koji imaju status operativnih vatrogasaca, 12 djelatnika je raspoređeno u 4 smjene koje obavljaju vatrogasno dežurstvo u </w:t>
      </w:r>
      <w:proofErr w:type="spellStart"/>
      <w:r w:rsidRPr="003E7565">
        <w:rPr>
          <w:rFonts w:cs="Times New Roman"/>
        </w:rPr>
        <w:t>turnusnom</w:t>
      </w:r>
      <w:proofErr w:type="spellEnd"/>
      <w:r w:rsidRPr="003E7565">
        <w:rPr>
          <w:rFonts w:cs="Times New Roman"/>
        </w:rPr>
        <w:t xml:space="preserve"> sustavu rada (12/24-12/48) i to 3 djelatnika po smjeni, dok 2 djelatnika obavljaju poslove zapovjednika i njegovog zamjenika.</w:t>
      </w:r>
    </w:p>
    <w:p w14:paraId="5476F750" w14:textId="26E924F6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Dežurni voditelj </w:t>
      </w:r>
      <w:r w:rsidR="006063D0">
        <w:rPr>
          <w:rFonts w:cs="Times New Roman"/>
        </w:rPr>
        <w:t>vatrogasnog odjeljenja</w:t>
      </w:r>
      <w:r w:rsidRPr="003E7565">
        <w:rPr>
          <w:rFonts w:cs="Times New Roman"/>
        </w:rPr>
        <w:t xml:space="preserve"> ima zadaću zaprimanja dojave o događaju i uzbunjivanja dežurne smjene, uzbunjivanja preostalih vatrogasaca JVP te uzbunjivanja i ostalih postrojbi (DVD) prema potrebi.</w:t>
      </w:r>
    </w:p>
    <w:p w14:paraId="72FA8C81" w14:textId="295C333E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Sistematizacija radnih mjesta uređena je Pravilnikom o unutarnjem ustroju JVP </w:t>
      </w:r>
      <w:r>
        <w:rPr>
          <w:rFonts w:cs="Times New Roman"/>
        </w:rPr>
        <w:t xml:space="preserve">Čepin </w:t>
      </w:r>
      <w:r w:rsidRPr="003E7565">
        <w:rPr>
          <w:rFonts w:cs="Times New Roman"/>
        </w:rPr>
        <w:t xml:space="preserve">koje je donijelo </w:t>
      </w:r>
      <w:r>
        <w:rPr>
          <w:rFonts w:cs="Times New Roman"/>
        </w:rPr>
        <w:t>Vatrogasno</w:t>
      </w:r>
      <w:r w:rsidRPr="003E7565">
        <w:rPr>
          <w:rFonts w:cs="Times New Roman"/>
        </w:rPr>
        <w:t xml:space="preserve"> vijeće na prijedlog </w:t>
      </w:r>
      <w:r>
        <w:rPr>
          <w:rFonts w:cs="Times New Roman"/>
        </w:rPr>
        <w:t>zapovjednika</w:t>
      </w:r>
      <w:r w:rsidR="006063D0">
        <w:rPr>
          <w:rFonts w:cs="Times New Roman"/>
        </w:rPr>
        <w:t xml:space="preserve"> u 2024. godinu zbog usklađivanja s novim podzakonskim propisima</w:t>
      </w:r>
      <w:r w:rsidRPr="003E7565">
        <w:rPr>
          <w:rFonts w:cs="Times New Roman"/>
        </w:rPr>
        <w:t>.</w:t>
      </w:r>
    </w:p>
    <w:p w14:paraId="10ED25E8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Usluge knjigovodstva ugovorene su s ovlaštenim knjigovodstvenim servisom.</w:t>
      </w:r>
    </w:p>
    <w:p w14:paraId="74D3DE44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7F02BE40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Opremljenost</w:t>
      </w:r>
    </w:p>
    <w:p w14:paraId="27499EA7" w14:textId="47FB248A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Potrebno je daljnje planiranje i opremanje JVP u skladu s Procjenom ugroženosti, Planom zaštite od požara te važećim </w:t>
      </w:r>
      <w:r w:rsidR="00437A72">
        <w:rPr>
          <w:rFonts w:cs="Times New Roman"/>
        </w:rPr>
        <w:t>podzakonskim aktima</w:t>
      </w:r>
      <w:r w:rsidRPr="003E7565">
        <w:rPr>
          <w:rFonts w:cs="Times New Roman"/>
        </w:rPr>
        <w:t>. Potrebno je nabaviti vatrodojavnu centralu, sukladno mogućnostima, kako bi se moglo izvršiti povezivanje pravnih osoba koje posjeduju vatrodojavni sustav te na takav način omogućiti ostvarivanje dodatnih prihoda.</w:t>
      </w:r>
    </w:p>
    <w:p w14:paraId="4E583AD1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29D54F13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Provođenje preventivnih mjera zaštite od požara</w:t>
      </w:r>
    </w:p>
    <w:p w14:paraId="77475BFF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U dogovoru s Općinama te DVD-ovima po potrebi provoditi preventivne mjere zaštite od požara te uskladiti općinske akte.</w:t>
      </w:r>
    </w:p>
    <w:p w14:paraId="07A14C83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5200EF44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Vatrogasne intervencije</w:t>
      </w:r>
    </w:p>
    <w:p w14:paraId="08E7EDF5" w14:textId="608CC03A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Vatrogasnim intervencijama rukovodi zapovjednik, zamjenik zapovjednika te voditelji </w:t>
      </w:r>
      <w:r w:rsidR="00437A72">
        <w:rPr>
          <w:rFonts w:cs="Times New Roman"/>
        </w:rPr>
        <w:t>vatrogasnih odjeljenja</w:t>
      </w:r>
      <w:r w:rsidRPr="003E7565">
        <w:rPr>
          <w:rFonts w:cs="Times New Roman"/>
        </w:rPr>
        <w:t>. Tijekom godine na polaganje ispita za vatrogasce s posebnim ovlastima i odgovornostima uputiti i nekolicinu drugih zainteresiranih djelatnika, sukladno Pravilniku o programu i načinu polaganja stručnog ispita za vatrogasce s posebnim ovlastima i odgovornostima (NN broj 110/20).</w:t>
      </w:r>
    </w:p>
    <w:p w14:paraId="44A072D8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5A62B411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Stručna nastava, usavršavanje i uvježbavanje te obuka</w:t>
      </w:r>
    </w:p>
    <w:p w14:paraId="17A2C3B9" w14:textId="739779DD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 xml:space="preserve">Održavati redovnu nastavu u obliku obrade nastavnih tema i taktičkih zadataka prema važećem Programu i načinu provedbe teorijske nastave i praktičnih vježbi u vatrogasnim postrojbama (NN 115/2020). Dodatno uvježbavati rad s motornim pilama, pneumatskim jastucima, hidrauličkim alatima, sustavima i armaturama za dobivanje pjene, uvježbavanje taktičkih zadataka na objektima </w:t>
      </w:r>
      <w:r w:rsidRPr="003E7565">
        <w:rPr>
          <w:rFonts w:cs="Times New Roman"/>
        </w:rPr>
        <w:lastRenderedPageBreak/>
        <w:t xml:space="preserve">(osnovne škole, vrtići, Konzum, Plodine, </w:t>
      </w:r>
      <w:r>
        <w:rPr>
          <w:rFonts w:cs="Times New Roman"/>
        </w:rPr>
        <w:t xml:space="preserve">SPAR, </w:t>
      </w:r>
      <w:r w:rsidRPr="003E7565">
        <w:rPr>
          <w:rFonts w:cs="Times New Roman"/>
        </w:rPr>
        <w:t xml:space="preserve">NTL, Tvornica ulja Čepin, proizvodni pogoni </w:t>
      </w:r>
      <w:r>
        <w:rPr>
          <w:rFonts w:cs="Times New Roman"/>
        </w:rPr>
        <w:t xml:space="preserve">mesne industrije, novi hotel i specijalna bolnica </w:t>
      </w:r>
      <w:r w:rsidRPr="003E7565">
        <w:rPr>
          <w:rFonts w:cs="Times New Roman"/>
        </w:rPr>
        <w:t xml:space="preserve">na Ovčari, </w:t>
      </w:r>
      <w:r w:rsidR="00437A72">
        <w:rPr>
          <w:rFonts w:cs="Times New Roman"/>
        </w:rPr>
        <w:t xml:space="preserve">stambene zgrade, </w:t>
      </w:r>
      <w:r w:rsidRPr="003E7565">
        <w:rPr>
          <w:rFonts w:cs="Times New Roman"/>
        </w:rPr>
        <w:t>bioplinska postrojenja i ostale pravne osobe s područja Osnivača koje u slučaju vatrogasnih intervencija mogu biti zanimljive).</w:t>
      </w:r>
    </w:p>
    <w:p w14:paraId="5A3B57FD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Održavati vježbe s članovima DVD-ova, sakupljati informacije i podatke o stanju hidrantske mreže, protupožarnih pristupa, puteva, prosjeka i ostalih bitnih činjenica za što uspješnije i kvalitetnije provođenje vatrogasnih intervencija i protupožarne zaštite.</w:t>
      </w:r>
    </w:p>
    <w:p w14:paraId="31AB5F33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166FFCA6" w14:textId="77777777" w:rsidR="008E5F2B" w:rsidRPr="003E7565" w:rsidRDefault="008E5F2B" w:rsidP="008E5F2B">
      <w:pPr>
        <w:pStyle w:val="Odlomakpopisa"/>
        <w:widowControl/>
        <w:numPr>
          <w:ilvl w:val="1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i/>
          <w:szCs w:val="24"/>
        </w:rPr>
      </w:pPr>
      <w:r w:rsidRPr="003E7565">
        <w:rPr>
          <w:rFonts w:cs="Times New Roman"/>
          <w:i/>
          <w:szCs w:val="24"/>
        </w:rPr>
        <w:t>Suradnja s drugim vatrogasnim postrojbama i institucijama</w:t>
      </w:r>
    </w:p>
    <w:p w14:paraId="613C2CF7" w14:textId="5B6A1544" w:rsidR="008E5F2B" w:rsidRPr="003E7565" w:rsidRDefault="00B624D9" w:rsidP="008E5F2B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</w:t>
      </w:r>
      <w:r w:rsidR="008E5F2B" w:rsidRPr="003E7565">
        <w:rPr>
          <w:rFonts w:cs="Times New Roman"/>
        </w:rPr>
        <w:t xml:space="preserve">državati suradnju s ostalim profesionalnim vatrogasnim postrojbama u </w:t>
      </w:r>
      <w:r w:rsidR="00497C20">
        <w:rPr>
          <w:rFonts w:cs="Times New Roman"/>
        </w:rPr>
        <w:t>regiji i</w:t>
      </w:r>
      <w:r w:rsidR="008E5F2B" w:rsidRPr="003E7565">
        <w:rPr>
          <w:rFonts w:cs="Times New Roman"/>
        </w:rPr>
        <w:t xml:space="preserve"> dobrovoljnim vatrogasnim društvima s područja Osnivača te jedinica lokalne samouprave s kojima graničimo. Intenzivirati suradnju i uvježbavanje s dobrovoljnim vatrogasnim društvima s područja Osnivača u cilju što boljeg i kvalitetnijeg izvođenja intervencija.</w:t>
      </w:r>
    </w:p>
    <w:p w14:paraId="5C95F691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Surađivati sa svim zainteresiranim pravnim i fizičkim osobama na poboljšanju protupožarne zaštite.</w:t>
      </w:r>
    </w:p>
    <w:p w14:paraId="0020F5AA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0B7D3E32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Radni prostor</w:t>
      </w:r>
    </w:p>
    <w:p w14:paraId="5EC7C9EC" w14:textId="6BAD0FB6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Potrebno je održavati radni prostor vatrogasnog doma DVD-a Čepin te opremanje prostora raznom informatičkom opremom, sukladno zahtjevima</w:t>
      </w:r>
      <w:r w:rsidR="00B624D9">
        <w:rPr>
          <w:rFonts w:cs="Times New Roman"/>
        </w:rPr>
        <w:t xml:space="preserve"> zakonskih i podzakonskih propisa</w:t>
      </w:r>
      <w:r w:rsidRPr="003E7565">
        <w:rPr>
          <w:rFonts w:cs="Times New Roman"/>
        </w:rPr>
        <w:t>.</w:t>
      </w:r>
    </w:p>
    <w:p w14:paraId="319A4F13" w14:textId="6940B293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U suradnji s Osnivačima te financijskim mogućnostima planirati izgradnju novog vatrogasnog kompleksa na novoj lokaciji.</w:t>
      </w:r>
    </w:p>
    <w:p w14:paraId="07D8491F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0F79ED1A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Vozila i oprema</w:t>
      </w:r>
    </w:p>
    <w:p w14:paraId="5389B2D2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Provoditi redovne aktivnosti s vozilima i opremom u smislu intervencija, uvježbavanja taktičkih zadataka te redovnog održavanja i godišnjeg servisiranja vozila i opreme.</w:t>
      </w:r>
    </w:p>
    <w:p w14:paraId="649DFADA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  <w:r w:rsidRPr="003E7565">
        <w:rPr>
          <w:rFonts w:cs="Times New Roman"/>
        </w:rPr>
        <w:tab/>
        <w:t>Godišnji servisi opreme obavljati će se u ovlaštenim servisima te vršiti redovite tehničke preglede i registraciju vozila.</w:t>
      </w:r>
    </w:p>
    <w:p w14:paraId="1BAD71DC" w14:textId="135EF4F8" w:rsidR="008E5F2B" w:rsidRDefault="008E5F2B" w:rsidP="008E5F2B">
      <w:pPr>
        <w:spacing w:line="276" w:lineRule="auto"/>
        <w:jc w:val="both"/>
        <w:rPr>
          <w:rFonts w:cs="Times New Roman"/>
        </w:rPr>
      </w:pPr>
      <w:r w:rsidRPr="003E7565">
        <w:rPr>
          <w:rFonts w:cs="Times New Roman"/>
        </w:rPr>
        <w:tab/>
        <w:t xml:space="preserve">Potrebno je izvršiti usklađivanje s </w:t>
      </w:r>
      <w:r w:rsidR="00437A72">
        <w:rPr>
          <w:rFonts w:cs="Times New Roman"/>
        </w:rPr>
        <w:t>podzakonskim aktima koji reguliraju potrebnu vrstu opreme</w:t>
      </w:r>
      <w:r w:rsidRPr="003E7565">
        <w:rPr>
          <w:rFonts w:cs="Times New Roman"/>
        </w:rPr>
        <w:t xml:space="preserve"> </w:t>
      </w:r>
      <w:r w:rsidR="00437A72">
        <w:rPr>
          <w:rFonts w:cs="Times New Roman"/>
        </w:rPr>
        <w:t xml:space="preserve">te </w:t>
      </w:r>
      <w:r w:rsidRPr="003E7565">
        <w:rPr>
          <w:rFonts w:cs="Times New Roman"/>
        </w:rPr>
        <w:t>nabaviti nedostajuću opremu.</w:t>
      </w:r>
    </w:p>
    <w:p w14:paraId="4848491C" w14:textId="05AEEAB3" w:rsidR="00497C20" w:rsidRPr="003E7565" w:rsidRDefault="00497C20" w:rsidP="00437A72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437A72">
        <w:rPr>
          <w:rFonts w:cs="Times New Roman"/>
        </w:rPr>
        <w:t xml:space="preserve">Krajem 2024. godine s Hrvatskom vatrogasnom zajednicom sklopljen je Sporazum o suradnji </w:t>
      </w:r>
      <w:r w:rsidR="00437A72" w:rsidRPr="00437A72">
        <w:rPr>
          <w:rFonts w:cs="Times New Roman"/>
        </w:rPr>
        <w:t>u provedbi projekta „Jačanje kapaciteta za protupožarnu zaštitu na brdsko-planinskim i</w:t>
      </w:r>
      <w:r w:rsidR="00437A72">
        <w:rPr>
          <w:rFonts w:cs="Times New Roman"/>
        </w:rPr>
        <w:t xml:space="preserve"> </w:t>
      </w:r>
      <w:r w:rsidR="00437A72" w:rsidRPr="00437A72">
        <w:rPr>
          <w:rFonts w:cs="Times New Roman"/>
        </w:rPr>
        <w:t>potpomognutim područjima “</w:t>
      </w:r>
      <w:r w:rsidR="00437A72">
        <w:rPr>
          <w:rFonts w:cs="Times New Roman"/>
        </w:rPr>
        <w:t xml:space="preserve"> </w:t>
      </w:r>
      <w:r w:rsidR="00437A72" w:rsidRPr="00437A72">
        <w:rPr>
          <w:rFonts w:cs="Times New Roman"/>
        </w:rPr>
        <w:t>koji se financira u okviru Programa Konkurentnost i kohezija 2021.-2027.</w:t>
      </w:r>
      <w:r w:rsidR="00437A72">
        <w:rPr>
          <w:rFonts w:cs="Times New Roman"/>
        </w:rPr>
        <w:t xml:space="preserve"> te se očekuje nabavka </w:t>
      </w:r>
      <w:r w:rsidR="0022795B">
        <w:rPr>
          <w:rFonts w:cs="Times New Roman"/>
        </w:rPr>
        <w:t xml:space="preserve">vatrogasne </w:t>
      </w:r>
      <w:r>
        <w:rPr>
          <w:rFonts w:cs="Times New Roman"/>
        </w:rPr>
        <w:t>autocisterne.</w:t>
      </w:r>
      <w:r w:rsidR="0022795B">
        <w:rPr>
          <w:rFonts w:cs="Times New Roman"/>
        </w:rPr>
        <w:t xml:space="preserve"> Sredinom 2024. godine DVD Čepin kupio je polovno tehničko vozilo s kranom te je sklopljen dodatak ugovora i navedeno vozilo i novonabavljenu opremu dana je na korištenje JVP Čepin.</w:t>
      </w:r>
    </w:p>
    <w:p w14:paraId="67F5D7A4" w14:textId="77777777" w:rsidR="008E5F2B" w:rsidRPr="003E7565" w:rsidRDefault="008E5F2B" w:rsidP="008E5F2B">
      <w:pPr>
        <w:spacing w:line="276" w:lineRule="auto"/>
        <w:ind w:firstLine="709"/>
        <w:jc w:val="both"/>
        <w:rPr>
          <w:rFonts w:cs="Times New Roman"/>
        </w:rPr>
      </w:pPr>
      <w:r w:rsidRPr="003E7565">
        <w:rPr>
          <w:rFonts w:cs="Times New Roman"/>
        </w:rPr>
        <w:t>Potrebno je nabaviti i:</w:t>
      </w:r>
    </w:p>
    <w:p w14:paraId="5D5E9CCC" w14:textId="77777777" w:rsidR="008E5F2B" w:rsidRDefault="008E5F2B" w:rsidP="008E5F2B">
      <w:pPr>
        <w:pStyle w:val="Odlomakpopisa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cs="Times New Roman"/>
          <w:szCs w:val="24"/>
        </w:rPr>
      </w:pPr>
      <w:r w:rsidRPr="003E7565">
        <w:rPr>
          <w:rFonts w:cs="Times New Roman"/>
          <w:szCs w:val="24"/>
        </w:rPr>
        <w:t>digitaln</w:t>
      </w:r>
      <w:r>
        <w:rPr>
          <w:rFonts w:cs="Times New Roman"/>
          <w:szCs w:val="24"/>
        </w:rPr>
        <w:t>u</w:t>
      </w:r>
      <w:r w:rsidRPr="003E7565">
        <w:rPr>
          <w:rFonts w:cs="Times New Roman"/>
          <w:szCs w:val="24"/>
        </w:rPr>
        <w:t xml:space="preserve"> radio stanic</w:t>
      </w:r>
      <w:r>
        <w:rPr>
          <w:rFonts w:cs="Times New Roman"/>
          <w:szCs w:val="24"/>
        </w:rPr>
        <w:t>u u ATEX izvedbi</w:t>
      </w:r>
      <w:r w:rsidRPr="003E7565">
        <w:rPr>
          <w:rFonts w:cs="Times New Roman"/>
          <w:szCs w:val="24"/>
        </w:rPr>
        <w:t>,</w:t>
      </w:r>
    </w:p>
    <w:p w14:paraId="11B21F5F" w14:textId="77777777" w:rsidR="008E5F2B" w:rsidRPr="003E7565" w:rsidRDefault="008E5F2B" w:rsidP="008E5F2B">
      <w:pPr>
        <w:pStyle w:val="Odlomakpopisa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module za komunikaciju za maske,</w:t>
      </w:r>
    </w:p>
    <w:p w14:paraId="796A2A25" w14:textId="77777777" w:rsidR="008E5F2B" w:rsidRPr="003E7565" w:rsidRDefault="008E5F2B" w:rsidP="008E5F2B">
      <w:pPr>
        <w:pStyle w:val="Odlomakpopisa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cs="Times New Roman"/>
          <w:szCs w:val="24"/>
        </w:rPr>
      </w:pPr>
      <w:r w:rsidRPr="003E7565">
        <w:rPr>
          <w:rFonts w:cs="Times New Roman"/>
          <w:szCs w:val="24"/>
        </w:rPr>
        <w:t>nabavka i održavanja IT opreme za rad JVP</w:t>
      </w:r>
      <w:r>
        <w:rPr>
          <w:rFonts w:cs="Times New Roman"/>
          <w:szCs w:val="24"/>
        </w:rPr>
        <w:t xml:space="preserve"> te</w:t>
      </w:r>
    </w:p>
    <w:p w14:paraId="78DFB4D7" w14:textId="5E1F00F8" w:rsidR="008E5F2B" w:rsidRPr="003E7565" w:rsidRDefault="008E5F2B" w:rsidP="008E5F2B">
      <w:pPr>
        <w:pStyle w:val="Odlomakpopisa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cs="Times New Roman"/>
          <w:szCs w:val="24"/>
        </w:rPr>
      </w:pPr>
      <w:r w:rsidRPr="003E7565">
        <w:rPr>
          <w:rFonts w:cs="Times New Roman"/>
          <w:szCs w:val="24"/>
        </w:rPr>
        <w:t xml:space="preserve">ostala oprema sukladno </w:t>
      </w:r>
      <w:r w:rsidR="00437A72">
        <w:rPr>
          <w:rFonts w:cs="Times New Roman"/>
          <w:szCs w:val="24"/>
        </w:rPr>
        <w:t>podzakonskim aktima</w:t>
      </w:r>
      <w:r w:rsidRPr="003E7565">
        <w:rPr>
          <w:rFonts w:cs="Times New Roman"/>
          <w:szCs w:val="24"/>
        </w:rPr>
        <w:t>.</w:t>
      </w:r>
    </w:p>
    <w:p w14:paraId="39298F6C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0A6FEAB2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Osobna i skupna zaštitna oprema</w:t>
      </w:r>
    </w:p>
    <w:p w14:paraId="028B5495" w14:textId="77777777" w:rsidR="008E5F2B" w:rsidRPr="003E7565" w:rsidRDefault="008E5F2B" w:rsidP="008E5F2B">
      <w:pPr>
        <w:spacing w:line="276" w:lineRule="auto"/>
        <w:ind w:firstLine="709"/>
        <w:jc w:val="both"/>
        <w:rPr>
          <w:rFonts w:cs="Times New Roman"/>
        </w:rPr>
      </w:pPr>
      <w:r w:rsidRPr="003E7565">
        <w:rPr>
          <w:rFonts w:cs="Times New Roman"/>
        </w:rPr>
        <w:t>Redovnim tjednim pregledima osobne i skupne zaštitne opreme vatrogasaca vodit će se računa o ispravnosti iste te eventualnoj potrebi zamijene ili nabavke nove opreme.</w:t>
      </w:r>
    </w:p>
    <w:p w14:paraId="52D61C99" w14:textId="52A827EA" w:rsidR="008E5F2B" w:rsidRPr="003E7565" w:rsidRDefault="008E5F2B" w:rsidP="0022795B">
      <w:pPr>
        <w:spacing w:line="276" w:lineRule="auto"/>
        <w:ind w:firstLine="709"/>
        <w:jc w:val="both"/>
        <w:rPr>
          <w:rFonts w:cs="Times New Roman"/>
        </w:rPr>
      </w:pPr>
      <w:r w:rsidRPr="003E7565">
        <w:rPr>
          <w:rFonts w:cs="Times New Roman"/>
        </w:rPr>
        <w:t xml:space="preserve">U </w:t>
      </w:r>
      <w:r>
        <w:rPr>
          <w:rFonts w:cs="Times New Roman"/>
        </w:rPr>
        <w:t>202</w:t>
      </w:r>
      <w:r w:rsidR="0022795B">
        <w:rPr>
          <w:rFonts w:cs="Times New Roman"/>
        </w:rPr>
        <w:t>5</w:t>
      </w:r>
      <w:r>
        <w:rPr>
          <w:rFonts w:cs="Times New Roman"/>
        </w:rPr>
        <w:t>.</w:t>
      </w:r>
      <w:r w:rsidRPr="003E7565">
        <w:rPr>
          <w:rFonts w:cs="Times New Roman"/>
        </w:rPr>
        <w:t xml:space="preserve"> godini potrebno je nabaviti nedostajuću osobnu i skupnu zaštitnu opremu, sukladno mogućnostima i podzakonskim aktima.</w:t>
      </w:r>
    </w:p>
    <w:p w14:paraId="7B13EEB3" w14:textId="77777777" w:rsidR="008E5F2B" w:rsidRPr="003E7565" w:rsidRDefault="008E5F2B" w:rsidP="008E5F2B">
      <w:pPr>
        <w:spacing w:line="276" w:lineRule="auto"/>
        <w:jc w:val="both"/>
        <w:rPr>
          <w:rFonts w:cs="Times New Roman"/>
        </w:rPr>
      </w:pPr>
    </w:p>
    <w:p w14:paraId="46B9300E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Pravna regulativa</w:t>
      </w:r>
    </w:p>
    <w:p w14:paraId="497559A2" w14:textId="3DBB2524" w:rsidR="008E5F2B" w:rsidRPr="003E7565" w:rsidRDefault="008E5F2B" w:rsidP="008E5F2B">
      <w:pPr>
        <w:spacing w:line="276" w:lineRule="auto"/>
        <w:ind w:left="360"/>
        <w:jc w:val="both"/>
        <w:rPr>
          <w:rFonts w:cs="Times New Roman"/>
        </w:rPr>
      </w:pPr>
      <w:r w:rsidRPr="003E7565">
        <w:rPr>
          <w:rFonts w:cs="Times New Roman"/>
        </w:rPr>
        <w:t>U 202</w:t>
      </w:r>
      <w:r w:rsidR="0022795B">
        <w:rPr>
          <w:rFonts w:cs="Times New Roman"/>
        </w:rPr>
        <w:t>5</w:t>
      </w:r>
      <w:r w:rsidRPr="003E7565">
        <w:rPr>
          <w:rFonts w:cs="Times New Roman"/>
        </w:rPr>
        <w:t>. godini planira se iz područja pravne regulative:</w:t>
      </w:r>
    </w:p>
    <w:p w14:paraId="35FC7FCF" w14:textId="77777777" w:rsidR="008E5F2B" w:rsidRPr="003E7565" w:rsidRDefault="008E5F2B" w:rsidP="008E5F2B">
      <w:pPr>
        <w:pStyle w:val="Odlomakpopisa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cs="Times New Roman"/>
          <w:szCs w:val="24"/>
        </w:rPr>
      </w:pPr>
      <w:r w:rsidRPr="003E7565">
        <w:rPr>
          <w:rFonts w:cs="Times New Roman"/>
          <w:szCs w:val="24"/>
        </w:rPr>
        <w:t xml:space="preserve">uskladiti i sve druge potrebne Pravilnike i dokumente potrebne za rad JVP Čepin sukladno </w:t>
      </w:r>
      <w:r>
        <w:rPr>
          <w:rFonts w:cs="Times New Roman"/>
          <w:szCs w:val="24"/>
        </w:rPr>
        <w:t>zakonskim i podzakonskim propisima</w:t>
      </w:r>
      <w:r w:rsidRPr="003E7565">
        <w:rPr>
          <w:rFonts w:cs="Times New Roman"/>
          <w:szCs w:val="24"/>
        </w:rPr>
        <w:t>.</w:t>
      </w:r>
    </w:p>
    <w:p w14:paraId="32BFE784" w14:textId="77777777" w:rsidR="008E5F2B" w:rsidRPr="003E7565" w:rsidRDefault="008E5F2B" w:rsidP="008E5F2B">
      <w:pPr>
        <w:pStyle w:val="Odlomakpopisa"/>
        <w:spacing w:line="276" w:lineRule="auto"/>
        <w:jc w:val="both"/>
        <w:rPr>
          <w:rFonts w:cs="Times New Roman"/>
          <w:szCs w:val="24"/>
        </w:rPr>
      </w:pPr>
    </w:p>
    <w:p w14:paraId="07217917" w14:textId="77777777" w:rsidR="008E5F2B" w:rsidRPr="003E7565" w:rsidRDefault="008E5F2B" w:rsidP="008E5F2B">
      <w:pPr>
        <w:pStyle w:val="Odlomakpopisa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cs="Times New Roman"/>
          <w:b/>
          <w:szCs w:val="24"/>
        </w:rPr>
      </w:pPr>
      <w:r w:rsidRPr="003E7565">
        <w:rPr>
          <w:rFonts w:cs="Times New Roman"/>
          <w:b/>
          <w:szCs w:val="24"/>
        </w:rPr>
        <w:t>Izrada izvješća</w:t>
      </w:r>
    </w:p>
    <w:p w14:paraId="2A2F1B6F" w14:textId="77777777" w:rsidR="008E5F2B" w:rsidRPr="003E7565" w:rsidRDefault="008E5F2B" w:rsidP="008E5F2B">
      <w:pPr>
        <w:spacing w:line="276" w:lineRule="auto"/>
        <w:ind w:firstLine="708"/>
        <w:jc w:val="both"/>
        <w:rPr>
          <w:rFonts w:cs="Times New Roman"/>
        </w:rPr>
      </w:pPr>
      <w:r w:rsidRPr="003E7565">
        <w:rPr>
          <w:rFonts w:cs="Times New Roman"/>
        </w:rPr>
        <w:t>Redovito izrađivati sva izvješća koja je JVP obavezna izraditi i dostaviti nadležnim institucijama.</w:t>
      </w:r>
    </w:p>
    <w:p w14:paraId="3F6A89BD" w14:textId="77777777" w:rsidR="00497C20" w:rsidRDefault="008E5F2B" w:rsidP="008E5F2B">
      <w:pPr>
        <w:spacing w:line="276" w:lineRule="auto"/>
        <w:ind w:firstLine="708"/>
        <w:jc w:val="both"/>
        <w:rPr>
          <w:rFonts w:cs="Times New Roman"/>
        </w:rPr>
        <w:sectPr w:rsidR="00497C20" w:rsidSect="0019691C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276" w:left="1134" w:header="720" w:footer="685" w:gutter="0"/>
          <w:cols w:space="720"/>
          <w:titlePg/>
          <w:docGrid w:linePitch="360"/>
        </w:sectPr>
      </w:pPr>
      <w:r w:rsidRPr="003E7565">
        <w:rPr>
          <w:rFonts w:cs="Times New Roman"/>
        </w:rPr>
        <w:t>Programom rada obuhvaćeni su svi aspekti rada i djelovanja, a provođenje programa rada uvelike će ovisiti o zalaganju svakog djelatnika JVP, ali i pomoći i suradnji Vatrogasnog vijeća te Osnivača.</w:t>
      </w:r>
    </w:p>
    <w:tbl>
      <w:tblPr>
        <w:tblW w:w="12988" w:type="dxa"/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960"/>
        <w:gridCol w:w="960"/>
        <w:gridCol w:w="1624"/>
        <w:gridCol w:w="1252"/>
        <w:gridCol w:w="1400"/>
        <w:gridCol w:w="1573"/>
        <w:gridCol w:w="1397"/>
        <w:gridCol w:w="1397"/>
        <w:gridCol w:w="15"/>
      </w:tblGrid>
      <w:tr w:rsidR="00497C20" w:rsidRPr="00497C20" w14:paraId="28217664" w14:textId="77777777" w:rsidTr="00005204">
        <w:trPr>
          <w:trHeight w:val="840"/>
        </w:trPr>
        <w:tc>
          <w:tcPr>
            <w:tcW w:w="12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AC28" w14:textId="1A31DA4A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bookmarkStart w:id="1" w:name="_Hlk186700252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PRIJEDLOG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FINANCIJSK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OG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 PLAN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 JAVNE VATROGASNE POSTROJBE ČEPIN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br/>
              <w:t>ZA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. I PROJEKCIJA ZA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. I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. GODINU</w:t>
            </w:r>
          </w:p>
        </w:tc>
      </w:tr>
      <w:tr w:rsidR="00497C20" w:rsidRPr="00497C20" w14:paraId="02A3B171" w14:textId="77777777" w:rsidTr="00005204">
        <w:trPr>
          <w:gridAfter w:val="1"/>
          <w:wAfter w:w="15" w:type="dxa"/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978C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98B2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BF66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AAFC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53FF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3E4B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A939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D1B7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236F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3DE1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97C20" w:rsidRPr="00497C20" w14:paraId="53FED86B" w14:textId="77777777" w:rsidTr="00005204">
        <w:trPr>
          <w:trHeight w:val="312"/>
        </w:trPr>
        <w:tc>
          <w:tcPr>
            <w:tcW w:w="12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E137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I. OPĆI DIO</w:t>
            </w:r>
          </w:p>
        </w:tc>
      </w:tr>
      <w:tr w:rsidR="00497C20" w:rsidRPr="00497C20" w14:paraId="0E2AB7F0" w14:textId="77777777" w:rsidTr="00005204">
        <w:trPr>
          <w:trHeight w:val="312"/>
        </w:trPr>
        <w:tc>
          <w:tcPr>
            <w:tcW w:w="12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29E97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A) SAŽETAK RAČUNA PRIHODA I RASHODA</w:t>
            </w:r>
          </w:p>
        </w:tc>
      </w:tr>
      <w:tr w:rsidR="00C675F7" w:rsidRPr="00497C20" w14:paraId="2A1789A8" w14:textId="77777777" w:rsidTr="00005204">
        <w:trPr>
          <w:gridAfter w:val="1"/>
          <w:wAfter w:w="15" w:type="dxa"/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B10D8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20503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71610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632B6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5438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DBF6" w14:textId="1857396E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2A56" w14:textId="560B22C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E108" w14:textId="72B8C61E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EE29" w14:textId="3EC9C42A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82D2" w14:textId="448E1DAE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005204" w:rsidRPr="00497C20" w14:paraId="3E9790A7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408C3ED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PRIHODI UKUPNO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514964" w14:textId="414C859B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326.320,02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9698E" w14:textId="5FDA0441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1641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11641"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1164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D33976" w14:textId="371E2627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04BA4" w14:textId="1B848CD0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72C260" w14:textId="69B3E737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005204" w:rsidRPr="00497C20" w14:paraId="052F3E3A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51DD9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6 PRIHODI POSLOVANJA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D1B" w14:textId="011AFC81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326.320,02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9E2B" w14:textId="5E51EC78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1641">
              <w:rPr>
                <w:rFonts w:ascii="Arial" w:hAnsi="Arial" w:cs="Arial"/>
                <w:sz w:val="20"/>
                <w:szCs w:val="20"/>
              </w:rPr>
              <w:t>69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11641">
              <w:rPr>
                <w:rFonts w:ascii="Arial" w:hAnsi="Arial" w:cs="Arial"/>
                <w:sz w:val="20"/>
                <w:szCs w:val="20"/>
              </w:rPr>
              <w:t>214</w:t>
            </w:r>
            <w:r w:rsidR="004F3B57">
              <w:rPr>
                <w:rFonts w:ascii="Arial" w:hAnsi="Arial" w:cs="Arial"/>
                <w:sz w:val="20"/>
                <w:szCs w:val="20"/>
              </w:rPr>
              <w:t>,</w:t>
            </w:r>
            <w:r w:rsidR="000116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BA6" w14:textId="60CD83CE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607.966,00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BF4" w14:textId="7184F955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1CE" w14:textId="592187E5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614.388,29</w:t>
            </w:r>
          </w:p>
        </w:tc>
      </w:tr>
      <w:tr w:rsidR="00005204" w:rsidRPr="00497C20" w14:paraId="51BDE58A" w14:textId="77777777" w:rsidTr="00005204">
        <w:trPr>
          <w:gridAfter w:val="1"/>
          <w:wAfter w:w="15" w:type="dxa"/>
          <w:trHeight w:val="28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9CA5EF7" w14:textId="770F7B39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 xml:space="preserve">RASHODI 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U</w:t>
            </w: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3A9DE08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6B7AA82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F14E949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667DF" w14:textId="71216DA0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362.500,51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B7B07" w14:textId="3A053CFC" w:rsidR="00005204" w:rsidRPr="00005204" w:rsidRDefault="004F3B57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</w:t>
            </w:r>
            <w:r w:rsidR="00005204"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005204"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,53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7B8B0B" w14:textId="7A0532D7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920282" w14:textId="20A3BB98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770313" w14:textId="4164C79B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005204" w:rsidRPr="00497C20" w14:paraId="347AF677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BFB6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3 RASHODI  POSLOVANJA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E7E" w14:textId="64B4D2A9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333.033,48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78A" w14:textId="7D92B1F4" w:rsidR="00005204" w:rsidRPr="00497C20" w:rsidRDefault="004F3B57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  <w:r w:rsidR="000052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934,6</w:t>
            </w:r>
            <w:r w:rsidR="000052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92B7" w14:textId="41939AC7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593.867,00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832" w14:textId="2A3D5533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597.074,50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51A" w14:textId="550D5A27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600.089,29</w:t>
            </w:r>
          </w:p>
        </w:tc>
      </w:tr>
      <w:tr w:rsidR="00005204" w:rsidRPr="00497C20" w14:paraId="3B317A87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FBFC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4 RASHODI ZA NABAVU NEFINANCIJSKE IMOVINE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AB3" w14:textId="01F1DE3A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29.467,03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CB15" w14:textId="77FCA3E5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3B5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sz w:val="20"/>
                <w:szCs w:val="20"/>
              </w:rPr>
              <w:t>851</w:t>
            </w:r>
            <w:r>
              <w:rPr>
                <w:rFonts w:ascii="Arial" w:hAnsi="Arial" w:cs="Arial"/>
                <w:sz w:val="20"/>
                <w:szCs w:val="20"/>
              </w:rPr>
              <w:t>,86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DE77" w14:textId="3989E0F7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C0B" w14:textId="789B13A2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14.199,00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5067" w14:textId="5B2369E2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14.299,00</w:t>
            </w:r>
          </w:p>
        </w:tc>
      </w:tr>
      <w:tr w:rsidR="00005204" w:rsidRPr="00497C20" w14:paraId="5A0E3692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436514D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RAZLIKA - VIŠAK / MANJAK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9E304" w14:textId="11DDD52E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-36.180,49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E70DF5" w14:textId="129F9312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33.427,63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0F535C" w14:textId="5372D172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DC4B7" w14:textId="1F3117CC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708795" w14:textId="4B23A637" w:rsidR="00005204" w:rsidRPr="00005204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0520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97C20" w:rsidRPr="00497C20" w14:paraId="174EB2FE" w14:textId="77777777" w:rsidTr="00005204">
        <w:trPr>
          <w:gridAfter w:val="1"/>
          <w:wAfter w:w="15" w:type="dxa"/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57E7" w14:textId="77777777" w:rsidR="00497C20" w:rsidRPr="00497C20" w:rsidRDefault="00497C20" w:rsidP="00497C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2318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1207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8D3A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DF7C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63B9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9B93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1C5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6B5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D48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97C20" w:rsidRPr="00497C20" w14:paraId="3B94BB58" w14:textId="77777777" w:rsidTr="00005204">
        <w:trPr>
          <w:trHeight w:val="312"/>
        </w:trPr>
        <w:tc>
          <w:tcPr>
            <w:tcW w:w="12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79F6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B) SAŽETAK RAČUNA FINANCIRANJA</w:t>
            </w:r>
          </w:p>
        </w:tc>
      </w:tr>
      <w:tr w:rsidR="00C675F7" w:rsidRPr="00497C20" w14:paraId="4ED32A56" w14:textId="77777777" w:rsidTr="00005204">
        <w:trPr>
          <w:gridAfter w:val="1"/>
          <w:wAfter w:w="15" w:type="dxa"/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BF6D5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9471C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9CF38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F6D37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909B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3192" w14:textId="5035E5CC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8EC5" w14:textId="0ACDB855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0883" w14:textId="5D8985E9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6779" w14:textId="49457EFB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7DA5" w14:textId="528316C3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497C20" w:rsidRPr="00497C20" w14:paraId="19901337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07C7" w14:textId="77777777" w:rsidR="00497C20" w:rsidRPr="00497C20" w:rsidRDefault="00497C20" w:rsidP="00497C2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8 PRIMICI OD FINANCIJSKE IMOVINE I ZADUŽIVANJA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B4C" w14:textId="77777777" w:rsidR="00497C20" w:rsidRPr="00C35E93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0AE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688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8A5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899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497C20" w:rsidRPr="00497C20" w14:paraId="7A372CA2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F035" w14:textId="77777777" w:rsidR="00497C20" w:rsidRPr="00497C20" w:rsidRDefault="00497C20" w:rsidP="00497C2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5 IZDACI ZA FINANCIJSKU IMOVINU I OTPLATE ZAJMOVA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92E" w14:textId="77777777" w:rsidR="00497C20" w:rsidRPr="00C35E93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114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E2B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931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AA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497C20" w:rsidRPr="00497C20" w14:paraId="2FA4AE4F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1B82AA1" w14:textId="77777777" w:rsidR="00497C20" w:rsidRPr="00497C20" w:rsidRDefault="00497C20" w:rsidP="00497C2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NETO FINANCIRANJE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82BFF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CC9061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CBC2A9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F7C881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3C120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497C20" w:rsidRPr="00497C20" w14:paraId="08CA760F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BBFE3B1" w14:textId="77777777" w:rsidR="00497C20" w:rsidRPr="00497C20" w:rsidRDefault="00497C20" w:rsidP="00497C2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VIŠAK / MANJAK + NETO FINANCIRANJE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8ED2B7" w14:textId="07820564" w:rsidR="00497C20" w:rsidRPr="00497C20" w:rsidRDefault="00005204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36B961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72A4AB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23F336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363636" w14:textId="77777777" w:rsidR="00497C20" w:rsidRPr="00497C20" w:rsidRDefault="00497C20" w:rsidP="00A144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497C20" w:rsidRPr="00497C20" w14:paraId="08627FB6" w14:textId="77777777" w:rsidTr="00005204">
        <w:trPr>
          <w:gridAfter w:val="1"/>
          <w:wAfter w:w="15" w:type="dxa"/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D904" w14:textId="77777777" w:rsidR="00497C20" w:rsidRPr="00497C20" w:rsidRDefault="00497C20" w:rsidP="00497C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57CE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3C26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4E21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170A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A64F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1013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78B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3A5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53BF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97C20" w:rsidRPr="00497C20" w14:paraId="7575A7DD" w14:textId="77777777" w:rsidTr="00005204">
        <w:trPr>
          <w:trHeight w:val="312"/>
        </w:trPr>
        <w:tc>
          <w:tcPr>
            <w:tcW w:w="12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1ADF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C) PRENESENI VIŠAK ILI PRENESENI MANJAK </w:t>
            </w:r>
          </w:p>
        </w:tc>
      </w:tr>
      <w:tr w:rsidR="00C675F7" w:rsidRPr="00497C20" w14:paraId="77E937D8" w14:textId="77777777" w:rsidTr="00005204">
        <w:trPr>
          <w:gridAfter w:val="1"/>
          <w:wAfter w:w="15" w:type="dxa"/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95724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0D100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ECD70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BEC66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CD10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A7A5" w14:textId="4002592B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2DB2" w14:textId="2FD02312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EDD1" w14:textId="0DE5E7C5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30D6" w14:textId="3CBA623A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4746" w14:textId="0C07669F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005204" w:rsidRPr="00497C20" w14:paraId="554B93EB" w14:textId="77777777" w:rsidTr="00005204">
        <w:trPr>
          <w:gridAfter w:val="1"/>
          <w:wAfter w:w="15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105D7E" w14:textId="77777777" w:rsidR="00005204" w:rsidRPr="00497C20" w:rsidRDefault="00005204" w:rsidP="0000520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PRIJENOS VIŠKA / MANJKA IZ PRETHODNE(IH) GODINE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F86B7" w14:textId="7ECE2D35" w:rsidR="00005204" w:rsidRPr="00005204" w:rsidRDefault="00451331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2.752,8</w:t>
            </w:r>
            <w:r w:rsidR="00491A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3FC917" w14:textId="475742AC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122A16" w14:textId="61BC4CB6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E54058" w14:textId="62CB323E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257B6" w14:textId="21AF77E7" w:rsidR="00005204" w:rsidRPr="00497C20" w:rsidRDefault="00005204" w:rsidP="0000520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1331" w:rsidRPr="00497C20" w14:paraId="2C713191" w14:textId="77777777" w:rsidTr="00005204">
        <w:trPr>
          <w:gridAfter w:val="1"/>
          <w:wAfter w:w="15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F767E0E" w14:textId="77777777" w:rsidR="00451331" w:rsidRPr="00497C20" w:rsidRDefault="00451331" w:rsidP="0045133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PRIJENOS VIŠKA / MANJKA U SLJEDEĆE RAZDOBLJE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FCEB734" w14:textId="6F6B94C5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="00A9142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1425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9142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5710BF" w14:textId="3B671478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-33.427,63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F2A3479" w14:textId="30544382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12BCB90" w14:textId="671D1912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2D49B2" w14:textId="58D0C126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1331" w:rsidRPr="00497C20" w14:paraId="3E5E12ED" w14:textId="77777777" w:rsidTr="00005204">
        <w:trPr>
          <w:gridAfter w:val="1"/>
          <w:wAfter w:w="15" w:type="dxa"/>
          <w:trHeight w:val="9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D8763D7" w14:textId="77777777" w:rsidR="00451331" w:rsidRPr="00497C20" w:rsidRDefault="00451331" w:rsidP="0045133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E0DF29E" w14:textId="01FE8FA9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-33.427,63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8216421" w14:textId="380C1C38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40AF977" w14:textId="6D3EF4FD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4111BE7" w14:textId="54CA23B7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68464E" w14:textId="62233C7F" w:rsidR="00451331" w:rsidRPr="00497C20" w:rsidRDefault="00451331" w:rsidP="0045133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7C20" w:rsidRPr="00497C20" w14:paraId="2AA4B6C1" w14:textId="77777777" w:rsidTr="00005204">
        <w:trPr>
          <w:gridAfter w:val="1"/>
          <w:wAfter w:w="15" w:type="dxa"/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D9DA" w14:textId="77777777" w:rsidR="00497C20" w:rsidRPr="00497C20" w:rsidRDefault="00497C20" w:rsidP="00497C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4C2D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14DE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5D2B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1BBB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97FF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DAEA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73593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F17D4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E82D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97C20" w:rsidRPr="00497C20" w14:paraId="08814507" w14:textId="77777777" w:rsidTr="00005204">
        <w:trPr>
          <w:trHeight w:val="312"/>
        </w:trPr>
        <w:tc>
          <w:tcPr>
            <w:tcW w:w="12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CAA1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lang w:eastAsia="hr-HR" w:bidi="ar-SA"/>
              </w:rPr>
              <w:lastRenderedPageBreak/>
              <w:t>D) VIŠEGODIŠNJI PLAN URAVNOTEŽENJA</w:t>
            </w:r>
          </w:p>
        </w:tc>
      </w:tr>
      <w:tr w:rsidR="00C675F7" w:rsidRPr="00A1445B" w14:paraId="28464F4A" w14:textId="77777777" w:rsidTr="00005204">
        <w:trPr>
          <w:gridAfter w:val="1"/>
          <w:wAfter w:w="15" w:type="dxa"/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D1789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CD688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F11AC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5CD66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59AB3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73EF" w14:textId="308EE7E8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666C" w14:textId="05AA4649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2BD4" w14:textId="54F8D0BA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41C0" w14:textId="1BF0225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4581" w14:textId="5B6A1A51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C35E93" w:rsidRPr="00A1445B" w14:paraId="0018732E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5C932A" w14:textId="77777777" w:rsidR="00C35E93" w:rsidRPr="00497C20" w:rsidRDefault="00C35E93" w:rsidP="00C35E9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PRIJENOS VIŠKA / MANJKA IZ PRETHODNE(IH) GODINE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67E75" w14:textId="4A2B9D36" w:rsidR="00C35E93" w:rsidRPr="00C35E93" w:rsidRDefault="00A91425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AE444B" w14:textId="67CBAE03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EB967" w14:textId="1B9FD440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9B7B30" w14:textId="2218CF60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1A0F4" w14:textId="03DB6CD5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35E93" w:rsidRPr="00A1445B" w14:paraId="657D8891" w14:textId="77777777" w:rsidTr="00005204">
        <w:trPr>
          <w:gridAfter w:val="1"/>
          <w:wAfter w:w="15" w:type="dxa"/>
          <w:trHeight w:val="57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076A93" w14:textId="77777777" w:rsidR="00C35E93" w:rsidRPr="00497C20" w:rsidRDefault="00C35E93" w:rsidP="00C35E9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VIŠAK / MANJAK IZ PRETHODNE(IH) GODINE KOJI ĆE SE RASPOREDITI / POKRITI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07274" w14:textId="5E6BC3CA" w:rsidR="00C35E93" w:rsidRPr="00C35E93" w:rsidRDefault="00A91425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83A694" w14:textId="33ABD772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-33.427,63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9A5ED3" w14:textId="3D9042E0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347D13" w14:textId="71819B4A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F131F" w14:textId="7A18A3FA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35E93" w:rsidRPr="00A1445B" w14:paraId="76E64C2A" w14:textId="77777777" w:rsidTr="00005204">
        <w:trPr>
          <w:gridAfter w:val="1"/>
          <w:wAfter w:w="15" w:type="dxa"/>
          <w:trHeight w:val="28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ED09A1" w14:textId="77777777" w:rsidR="00C35E93" w:rsidRPr="00497C20" w:rsidRDefault="00C35E93" w:rsidP="00C35E9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VIŠAK / MANJAK TEKUĆE GODINE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72EFE" w14:textId="42093789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  <w:r w:rsidR="00A9142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91425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91425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F2A762" w14:textId="304EF8E9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0C1DAA" w14:textId="53574D7D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DACC0B" w14:textId="7D5C900C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267D5" w14:textId="53AE0A2B" w:rsidR="00C35E93" w:rsidRPr="00C35E93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35E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35E93" w:rsidRPr="00A1445B" w14:paraId="2B920D52" w14:textId="77777777" w:rsidTr="00005204">
        <w:trPr>
          <w:gridAfter w:val="1"/>
          <w:wAfter w:w="15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C04E13D" w14:textId="77777777" w:rsidR="00C35E93" w:rsidRPr="00497C20" w:rsidRDefault="00C35E93" w:rsidP="00C35E9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PRIJENOS VIŠKA / MANJKA U SLJEDEĆE RAZDOBLJE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241D645" w14:textId="73611B9D" w:rsidR="00C35E93" w:rsidRPr="00497C20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="00A914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1425">
              <w:rPr>
                <w:rFonts w:ascii="Arial" w:hAnsi="Arial" w:cs="Arial"/>
                <w:sz w:val="20"/>
                <w:szCs w:val="20"/>
              </w:rPr>
              <w:t>427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9142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2C611AD" w14:textId="5E1B5A01" w:rsidR="00C35E93" w:rsidRPr="00497C20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3A0CFF2" w14:textId="1B681C25" w:rsidR="00C35E93" w:rsidRPr="00497C20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56564C" w14:textId="6FC4191F" w:rsidR="00C35E93" w:rsidRPr="00497C20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398438" w14:textId="3AB4D889" w:rsidR="00C35E93" w:rsidRPr="00497C20" w:rsidRDefault="00C35E93" w:rsidP="00C35E9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BBE2E3C" w14:textId="77777777" w:rsidR="008E5F2B" w:rsidRDefault="008E5F2B" w:rsidP="008E5F2B">
      <w:pPr>
        <w:spacing w:line="276" w:lineRule="auto"/>
        <w:jc w:val="both"/>
        <w:rPr>
          <w:rFonts w:cs="Times New Roman"/>
        </w:rPr>
      </w:pPr>
    </w:p>
    <w:tbl>
      <w:tblPr>
        <w:tblW w:w="14580" w:type="dxa"/>
        <w:tblLayout w:type="fixed"/>
        <w:tblLook w:val="04A0" w:firstRow="1" w:lastRow="0" w:firstColumn="1" w:lastColumn="0" w:noHBand="0" w:noVBand="1"/>
      </w:tblPr>
      <w:tblGrid>
        <w:gridCol w:w="883"/>
        <w:gridCol w:w="994"/>
        <w:gridCol w:w="6203"/>
        <w:gridCol w:w="1276"/>
        <w:gridCol w:w="67"/>
        <w:gridCol w:w="1209"/>
        <w:gridCol w:w="8"/>
        <w:gridCol w:w="1267"/>
        <w:gridCol w:w="1276"/>
        <w:gridCol w:w="1397"/>
      </w:tblGrid>
      <w:tr w:rsidR="00497C20" w:rsidRPr="00497C20" w14:paraId="7EE3569F" w14:textId="77777777" w:rsidTr="005177FC">
        <w:trPr>
          <w:trHeight w:val="315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E058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I. OPĆI DIO</w:t>
            </w:r>
          </w:p>
        </w:tc>
      </w:tr>
      <w:tr w:rsidR="00497C20" w:rsidRPr="00497C20" w14:paraId="576DFBB4" w14:textId="77777777" w:rsidTr="005177FC">
        <w:trPr>
          <w:trHeight w:val="360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7C0D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A. RAČUN PRIHODA I RASHODA </w:t>
            </w:r>
          </w:p>
        </w:tc>
      </w:tr>
      <w:tr w:rsidR="00497C20" w:rsidRPr="00497C20" w14:paraId="4CFFB6E2" w14:textId="77777777" w:rsidTr="005177FC">
        <w:trPr>
          <w:trHeight w:val="315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9DEF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PRIHODI POSLOVANJA PREMA EKONOMSKOJ KLASIFIKACIJI</w:t>
            </w:r>
          </w:p>
        </w:tc>
      </w:tr>
      <w:tr w:rsidR="00497C20" w:rsidRPr="00497C20" w14:paraId="01B632CE" w14:textId="77777777" w:rsidTr="005177FC">
        <w:trPr>
          <w:trHeight w:val="52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30CFB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5DE7D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Skupina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52B10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 prihoda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1F3DC" w14:textId="0BED8D64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4F9E3" w14:textId="02AE4E8E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377CB" w14:textId="7C79D73C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8A2C" w14:textId="4F145BE2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CBB9D" w14:textId="6E557385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 w:rsidR="00227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22795B" w:rsidRPr="00497C20" w14:paraId="3AF0DC03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83A" w14:textId="77777777" w:rsidR="0022795B" w:rsidRPr="00497C20" w:rsidRDefault="0022795B" w:rsidP="002279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62D" w14:textId="77777777" w:rsidR="0022795B" w:rsidRPr="00497C20" w:rsidRDefault="0022795B" w:rsidP="002279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34F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1B3" w14:textId="5E65033B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326.320,02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C1E" w14:textId="638CE59F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770" w14:textId="1A896953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0AE6" w14:textId="4E11F7F6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F305" w14:textId="36B2C231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22795B" w:rsidRPr="00497C20" w14:paraId="592200F9" w14:textId="77777777" w:rsidTr="005177F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26B9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5390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724F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26FA" w14:textId="1ABFDF78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326.320,02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1C57" w14:textId="60535F61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EF13" w14:textId="3947F3CE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91F5" w14:textId="5C2C2DC2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26C4" w14:textId="43B3CA09" w:rsidR="0022795B" w:rsidRPr="00497C20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22795B" w:rsidRPr="00497C20" w14:paraId="28A5A4FC" w14:textId="77777777" w:rsidTr="005177FC">
        <w:trPr>
          <w:trHeight w:val="28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2D26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B25F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9663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56CA" w14:textId="233CDA2F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17.598,12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62EC" w14:textId="28B171B2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</w:t>
            </w:r>
            <w:r w:rsidR="004F3B57">
              <w:rPr>
                <w:rFonts w:ascii="Arial" w:hAnsi="Arial" w:cs="Arial"/>
                <w:sz w:val="20"/>
                <w:szCs w:val="20"/>
              </w:rPr>
              <w:t>3</w:t>
            </w:r>
            <w:r w:rsidRPr="00C675F7">
              <w:rPr>
                <w:rFonts w:ascii="Arial" w:hAnsi="Arial" w:cs="Arial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sz w:val="20"/>
                <w:szCs w:val="20"/>
              </w:rPr>
              <w:t>303</w:t>
            </w:r>
            <w:r w:rsidRPr="00C675F7">
              <w:rPr>
                <w:rFonts w:ascii="Arial" w:hAnsi="Arial" w:cs="Arial"/>
                <w:sz w:val="20"/>
                <w:szCs w:val="20"/>
              </w:rPr>
              <w:t>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9BA1" w14:textId="28DA503C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23.240,00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2331" w14:textId="2093E898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23.240,00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CF04" w14:textId="1ED13BD0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23.240,00</w:t>
            </w:r>
          </w:p>
        </w:tc>
      </w:tr>
      <w:tr w:rsidR="0022795B" w:rsidRPr="00497C20" w14:paraId="38BE7AE4" w14:textId="77777777" w:rsidTr="005177FC">
        <w:trPr>
          <w:trHeight w:val="52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E1AD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876F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66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8224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Prihodi od prodaje proizvoda i robe te pruženih usluga, i prihodi od donacija te povrati po protestiranim jamstvima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9098" w14:textId="310AB7F9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8.137,03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F82C" w14:textId="153D99AD" w:rsidR="0022795B" w:rsidRPr="00C675F7" w:rsidRDefault="004F3B57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2795B" w:rsidRPr="00C675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795B" w:rsidRPr="00C675F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B1D6" w14:textId="0B234B07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9.100,00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3058" w14:textId="3A95E084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9.200,00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4C06" w14:textId="13D8FBD8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9.300,00</w:t>
            </w:r>
          </w:p>
        </w:tc>
      </w:tr>
      <w:tr w:rsidR="0022795B" w:rsidRPr="00497C20" w14:paraId="503063D5" w14:textId="77777777" w:rsidTr="005177FC">
        <w:trPr>
          <w:trHeight w:val="52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4847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C8A0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6D46" w14:textId="77777777" w:rsidR="0022795B" w:rsidRPr="00497C20" w:rsidRDefault="0022795B" w:rsidP="0022795B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Prihodi iz nadležnog proračuna i od HZZO-a temeljem ugovornih obveza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1DC0" w14:textId="37BC6A56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300.584,87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2A63" w14:textId="0ECEC1E0" w:rsidR="0022795B" w:rsidRPr="00C675F7" w:rsidRDefault="004F3B57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  <w:r w:rsidR="0022795B" w:rsidRPr="00C675F7">
              <w:rPr>
                <w:rFonts w:ascii="Arial" w:hAnsi="Arial" w:cs="Arial"/>
                <w:sz w:val="20"/>
                <w:szCs w:val="20"/>
              </w:rPr>
              <w:t>.811,06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F76D" w14:textId="01A089E8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575.626,00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D3CF" w14:textId="0CC0D371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578.833,50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A836A" w14:textId="29A5C48E" w:rsidR="0022795B" w:rsidRPr="00C675F7" w:rsidRDefault="0022795B" w:rsidP="002279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581.848,29</w:t>
            </w:r>
          </w:p>
        </w:tc>
      </w:tr>
      <w:tr w:rsidR="00497C20" w:rsidRPr="00497C20" w14:paraId="169FED93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9B7A" w14:textId="77777777" w:rsidR="00497C20" w:rsidRPr="00497C20" w:rsidRDefault="00497C20" w:rsidP="00497C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311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04CF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6AE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DA4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E1C3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958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500E" w14:textId="77777777" w:rsidR="00497C20" w:rsidRPr="00497C20" w:rsidRDefault="00497C20" w:rsidP="00497C20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97C20" w:rsidRPr="00497C20" w14:paraId="155012F8" w14:textId="77777777" w:rsidTr="005177FC">
        <w:trPr>
          <w:trHeight w:val="312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1E0A" w14:textId="77777777" w:rsidR="00497C20" w:rsidRPr="00497C20" w:rsidRDefault="00497C20" w:rsidP="00497C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RASHODI POSLOVANJA PREMA EKONOMSKOJ KLASIFIKACIJI</w:t>
            </w:r>
          </w:p>
        </w:tc>
      </w:tr>
      <w:tr w:rsidR="00C675F7" w:rsidRPr="00497C20" w14:paraId="3FE39354" w14:textId="77777777" w:rsidTr="005177FC">
        <w:trPr>
          <w:trHeight w:val="52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A8D2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93C61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Skupina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E4901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 rashoda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382A8" w14:textId="6A9C1E49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831F6" w14:textId="578ADC05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1766B" w14:textId="5798AE35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8CEB9" w14:textId="58FCE88E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F5F9B" w14:textId="35012F3F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C675F7" w:rsidRPr="00497C20" w14:paraId="2E55F5FC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513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F4A" w14:textId="77777777" w:rsidR="00C675F7" w:rsidRPr="00497C20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501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6E8" w14:textId="4960B4FF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362.500,51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6F5" w14:textId="3822A469" w:rsidR="00C675F7" w:rsidRPr="00497C20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6315" w14:textId="710D862A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A73" w14:textId="05EEEB24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1BA2" w14:textId="00EFF90C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C675F7" w:rsidRPr="00497C20" w14:paraId="2EAEEC35" w14:textId="77777777" w:rsidTr="005177F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A02F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0A89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ECFB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3067" w14:textId="4453E9DF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333.033,48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A362" w14:textId="038DBF39" w:rsidR="00C675F7" w:rsidRPr="00497C20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19069" w14:textId="5B64B214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593.867,00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F39F" w14:textId="3273E99E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597.074,50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05B0" w14:textId="6A383428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600.089,29</w:t>
            </w:r>
          </w:p>
        </w:tc>
      </w:tr>
      <w:tr w:rsidR="00C675F7" w:rsidRPr="00497C20" w14:paraId="266EC531" w14:textId="77777777" w:rsidTr="005177FC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7ABC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2ABA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16C1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ED9C" w14:textId="72D51D24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289.159,46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717C" w14:textId="1DE84554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47</w:t>
            </w:r>
            <w:r w:rsidR="004F3B57">
              <w:rPr>
                <w:rFonts w:ascii="Arial" w:hAnsi="Arial" w:cs="Arial"/>
                <w:sz w:val="20"/>
                <w:szCs w:val="20"/>
              </w:rPr>
              <w:t>4</w:t>
            </w:r>
            <w:r w:rsidRPr="00C675F7">
              <w:rPr>
                <w:rFonts w:ascii="Arial" w:hAnsi="Arial" w:cs="Arial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sz w:val="20"/>
                <w:szCs w:val="20"/>
              </w:rPr>
              <w:t>447</w:t>
            </w:r>
            <w:r w:rsidRPr="00C675F7">
              <w:rPr>
                <w:rFonts w:ascii="Arial" w:hAnsi="Arial" w:cs="Arial"/>
                <w:sz w:val="20"/>
                <w:szCs w:val="20"/>
              </w:rPr>
              <w:t>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669A" w14:textId="6CD7C28E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542.890,00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29DE" w14:textId="05CDED8E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544.847,50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F04E" w14:textId="6A8B2468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546.812,29</w:t>
            </w:r>
          </w:p>
        </w:tc>
      </w:tr>
      <w:tr w:rsidR="00C675F7" w:rsidRPr="00497C20" w14:paraId="7899C6A0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AF2A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80E0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E811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CB15" w14:textId="6C1381EB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43.543,61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EEF2" w14:textId="512B4D14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4</w:t>
            </w:r>
            <w:r w:rsidR="004F3B57">
              <w:rPr>
                <w:rFonts w:ascii="Arial" w:hAnsi="Arial" w:cs="Arial"/>
                <w:sz w:val="20"/>
                <w:szCs w:val="20"/>
              </w:rPr>
              <w:t>3</w:t>
            </w:r>
            <w:r w:rsidRPr="00C675F7">
              <w:rPr>
                <w:rFonts w:ascii="Arial" w:hAnsi="Arial" w:cs="Arial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sz w:val="20"/>
                <w:szCs w:val="20"/>
              </w:rPr>
              <w:t>11</w:t>
            </w:r>
            <w:r w:rsidRPr="00C675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9FBD" w14:textId="2A06E11F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1017" w14:textId="76AD9DF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51.850,00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3B11" w14:textId="5AC12BFF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52.900,00</w:t>
            </w:r>
          </w:p>
        </w:tc>
      </w:tr>
      <w:tr w:rsidR="00C675F7" w:rsidRPr="00497C20" w14:paraId="6A99D284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E4F5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628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1D7D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1FE5" w14:textId="08DC7A4D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330,41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8C15" w14:textId="2CCB96DA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</w:t>
            </w:r>
            <w:r w:rsidR="004F3B57">
              <w:rPr>
                <w:rFonts w:ascii="Arial" w:hAnsi="Arial" w:cs="Arial"/>
                <w:sz w:val="20"/>
                <w:szCs w:val="20"/>
              </w:rPr>
              <w:t>77</w:t>
            </w:r>
            <w:r w:rsidRPr="00C675F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1A6B9" w14:textId="3C0B7446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B751" w14:textId="10FB0246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A0F" w14:textId="08308D9C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377,00</w:t>
            </w:r>
          </w:p>
        </w:tc>
      </w:tr>
      <w:tr w:rsidR="00C675F7" w:rsidRPr="00497C20" w14:paraId="50BE801D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110C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ADBC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DDDD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3597" w14:textId="4DA2225A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29.467,03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8E36" w14:textId="2FDCD1BF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b/>
                <w:bCs/>
                <w:sz w:val="20"/>
                <w:szCs w:val="20"/>
              </w:rPr>
              <w:t>851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9BD6" w14:textId="75611448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41FF" w14:textId="3BFCAE11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14.199,00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CB00" w14:textId="2E4B5228" w:rsidR="00C675F7" w:rsidRPr="00497C20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14.299,00</w:t>
            </w:r>
          </w:p>
        </w:tc>
      </w:tr>
      <w:tr w:rsidR="00C675F7" w:rsidRPr="00497C20" w14:paraId="1E1BC884" w14:textId="77777777" w:rsidTr="005177FC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AC75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C8C4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CCE4" w14:textId="77777777" w:rsidR="00C675F7" w:rsidRPr="00497C20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F774" w14:textId="5C77ED4C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29.467,03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D18EC" w14:textId="05C647F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1</w:t>
            </w:r>
            <w:r w:rsidR="004F3B57">
              <w:rPr>
                <w:rFonts w:ascii="Arial" w:hAnsi="Arial" w:cs="Arial"/>
                <w:sz w:val="20"/>
                <w:szCs w:val="20"/>
              </w:rPr>
              <w:t>7</w:t>
            </w:r>
            <w:r w:rsidRPr="00C675F7">
              <w:rPr>
                <w:rFonts w:ascii="Arial" w:hAnsi="Arial" w:cs="Arial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sz w:val="20"/>
                <w:szCs w:val="20"/>
              </w:rPr>
              <w:t>851</w:t>
            </w:r>
            <w:r w:rsidRPr="00C675F7">
              <w:rPr>
                <w:rFonts w:ascii="Arial" w:hAnsi="Arial" w:cs="Arial"/>
                <w:sz w:val="20"/>
                <w:szCs w:val="20"/>
              </w:rPr>
              <w:t>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F244" w14:textId="1B9EE8AE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14.099,00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276B" w14:textId="53094378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14.199,00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1281" w14:textId="11D60B88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sz w:val="20"/>
                <w:szCs w:val="20"/>
              </w:rPr>
              <w:t>14.299,00</w:t>
            </w:r>
          </w:p>
        </w:tc>
      </w:tr>
      <w:tr w:rsidR="00542C58" w:rsidRPr="00542C58" w14:paraId="71B00BF6" w14:textId="77777777" w:rsidTr="005177FC">
        <w:trPr>
          <w:trHeight w:val="315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209C" w14:textId="042CADA6" w:rsidR="00542C58" w:rsidRPr="00542C58" w:rsidRDefault="00542C58" w:rsidP="00542C5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PRIHODI POSLOVANJA PREMA IZVORIMA FINANCIRANJA</w:t>
            </w:r>
          </w:p>
        </w:tc>
      </w:tr>
      <w:tr w:rsidR="00C675F7" w:rsidRPr="00542C58" w14:paraId="182CAD60" w14:textId="77777777" w:rsidTr="005177FC">
        <w:trPr>
          <w:trHeight w:val="52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19875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Brojčana oznaka i 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28B35" w14:textId="7C9424C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34DC4" w14:textId="5D1AE633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B260E" w14:textId="0D83546F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FB65D" w14:textId="0DC31170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3C801" w14:textId="595BF119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C675F7" w:rsidRPr="00542C58" w14:paraId="46BBA15E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BA5" w14:textId="4AF407D2" w:rsidR="00C675F7" w:rsidRPr="00542C58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C29" w14:textId="4CB40EC9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326.320,02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29C" w14:textId="4B2B9A8A" w:rsidR="00C675F7" w:rsidRPr="00542C58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569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  <w:r w:rsidR="00C675F7">
              <w:rPr>
                <w:rFonts w:ascii="Arial" w:hAnsi="Arial" w:cs="Arial"/>
                <w:b/>
                <w:bCs/>
                <w:sz w:val="20"/>
                <w:szCs w:val="20"/>
              </w:rPr>
              <w:t>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99D" w14:textId="53ED4818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5B1" w14:textId="2B7D5D22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FFB" w14:textId="2E041659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C675F7" w:rsidRPr="00542C58" w14:paraId="40DBDC5D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5D2E" w14:textId="6507CCB7" w:rsidR="00C675F7" w:rsidRPr="00542C58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2DF" w14:textId="40ADBDDA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97.160,12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197" w14:textId="6FD0C4B5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F3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</w:t>
            </w:r>
            <w:r w:rsidR="004F3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9C2" w14:textId="7E4C94AF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165" w14:textId="6B4D0124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357.807,50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1F7" w14:textId="7FDDE52E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360.822,29</w:t>
            </w:r>
          </w:p>
        </w:tc>
      </w:tr>
      <w:tr w:rsidR="00C675F7" w:rsidRPr="00C675F7" w14:paraId="58538DE1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AA89" w14:textId="7504C0ED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1FF0" w14:textId="4F0DAF46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89.196,44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0FAF" w14:textId="687A6A0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F3B5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.148,98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69B6" w14:textId="3264CE7D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346.600,00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73B6" w14:textId="535F79A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349.807,50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EC0D" w14:textId="3D7C681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352.822,29</w:t>
            </w:r>
          </w:p>
        </w:tc>
      </w:tr>
      <w:tr w:rsidR="00C675F7" w:rsidRPr="00C675F7" w14:paraId="0947C6C3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E4CE" w14:textId="77327112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1.2. Prihodi od suosnivača JVP - Vladislavci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742D" w14:textId="64682F30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3.982,00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A4D0" w14:textId="412A45CB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7776" w14:textId="42934F2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B0AC" w14:textId="159796E9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A947" w14:textId="5726E55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C675F7" w:rsidRPr="00C675F7" w14:paraId="1C788E34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E2A3" w14:textId="2A929E83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1.3. Prihodi od suosnivača JVP - Vuka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443F" w14:textId="5315EB7B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E97C" w14:textId="2B1DB6BC" w:rsidR="00C675F7" w:rsidRPr="00C675F7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675F7" w:rsidRPr="00C675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C675F7" w:rsidRPr="00C675F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0BE7" w14:textId="31120D9B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9AF2" w14:textId="5EA90AF6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23D5" w14:textId="7285D6A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C675F7" w:rsidRPr="00542C58" w14:paraId="4BF16392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230D" w14:textId="5DF883BD" w:rsidR="00C675F7" w:rsidRPr="00542C58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9279" w14:textId="12DA7E07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3.888,62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0340" w14:textId="13423255" w:rsidR="00C675F7" w:rsidRPr="00542C58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C67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C67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792D" w14:textId="27B11877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A5C3" w14:textId="519FE9FB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11C4" w14:textId="77EA74FA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</w:tr>
      <w:tr w:rsidR="00C675F7" w:rsidRPr="00C675F7" w14:paraId="2EB5A6D9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A9F1" w14:textId="42AF5EFB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3.3. VLASTITI PRIHODI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241E" w14:textId="7103F6C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3.888,62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7B20" w14:textId="36D4C6AE" w:rsidR="00C675F7" w:rsidRPr="00C675F7" w:rsidRDefault="004F3B5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675F7" w:rsidRPr="00C675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675F7" w:rsidRPr="00C675F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4781" w14:textId="597F884D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E147" w14:textId="785D440C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2A3A" w14:textId="39A64C9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3.800,00</w:t>
            </w:r>
          </w:p>
        </w:tc>
      </w:tr>
      <w:tr w:rsidR="00C675F7" w:rsidRPr="00542C58" w14:paraId="1B7ABE96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A04" w14:textId="6A444412" w:rsidR="00C675F7" w:rsidRPr="00542C58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7545B" w14:textId="52256616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221.022,87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1D26" w14:textId="40E7E1DC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</w:t>
            </w:r>
            <w:r w:rsidR="004F3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F879" w14:textId="1503BE9E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003D" w14:textId="627F752F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244.266,00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0C89" w14:textId="2228377D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244.266,00</w:t>
            </w:r>
          </w:p>
        </w:tc>
      </w:tr>
      <w:tr w:rsidR="00C675F7" w:rsidRPr="00C675F7" w14:paraId="1550A735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39A9" w14:textId="2E635560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5.1. Tekuće i kapitalne 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F8F0" w14:textId="298BDFFC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E249" w14:textId="034E76F4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F3B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CEDA" w14:textId="4A9CAD6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7436" w14:textId="62D77C2F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0E7D" w14:textId="1C9C000F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</w:tr>
      <w:tr w:rsidR="00C675F7" w:rsidRPr="00C675F7" w14:paraId="09187FD0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4EE8" w14:textId="4D089D1C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5.1.1 Tekuće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EC07" w14:textId="73D8189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A8E7" w14:textId="388994E8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F3B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F3B57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7006" w14:textId="3B6CAF2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624F" w14:textId="0C4D912E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3928" w14:textId="782B97C9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3.240,00</w:t>
            </w:r>
          </w:p>
        </w:tc>
      </w:tr>
      <w:tr w:rsidR="00C675F7" w:rsidRPr="00542C58" w14:paraId="044B3B54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E98" w14:textId="0EF7B1F2" w:rsidR="00C675F7" w:rsidRPr="00542C58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5.3. POMOĆI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D140" w14:textId="70C17EF3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216.022,87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81C1" w14:textId="350B9881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242.662,08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AC8C" w14:textId="5897893A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2BC2" w14:textId="4D02B3C5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9476" w14:textId="467E8E57" w:rsidR="00C675F7" w:rsidRPr="00542C58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</w:tr>
      <w:tr w:rsidR="00C675F7" w:rsidRPr="00C675F7" w14:paraId="305B06FC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AB6E" w14:textId="05E396A8" w:rsidR="00C675F7" w:rsidRPr="00C675F7" w:rsidRDefault="00C675F7" w:rsidP="00C675F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5.3.1 Tekuće pomoći izravnanja za decentralizirane funkcije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715B" w14:textId="294EE1B7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211.388,43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7417" w14:textId="31F5D31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CE16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.662,08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93DC" w14:textId="5669BA1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229.026,00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425B" w14:textId="651EAEA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229.026,00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51F5" w14:textId="5B1851A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229.026,00</w:t>
            </w:r>
          </w:p>
        </w:tc>
      </w:tr>
      <w:tr w:rsidR="00C675F7" w:rsidRPr="00C675F7" w14:paraId="374B2DD3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32E90" w14:textId="4F00861F" w:rsidR="00C675F7" w:rsidRPr="00C675F7" w:rsidRDefault="00C675F7" w:rsidP="00C675F7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5.3.2 Prihodi od dodatnog udjela PND Vladislavci i Vuka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E2ECA" w14:textId="62263E08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4.634,44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5EB7A" w14:textId="771C6916" w:rsidR="00C675F7" w:rsidRPr="00C675F7" w:rsidRDefault="00CE16B6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675F7" w:rsidRPr="00C675F7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776F8" w14:textId="17A9A39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BE528" w14:textId="61F53B0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2F9F0" w14:textId="17E5983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</w:tr>
      <w:tr w:rsidR="00C675F7" w:rsidRPr="00542C58" w14:paraId="0A1C950F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AB0A0" w14:textId="5E0C48D2" w:rsidR="00C675F7" w:rsidRDefault="00C675F7" w:rsidP="00C675F7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5.5.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6D607" w14:textId="185282E6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D6D3B" w14:textId="30746688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7476" w14:textId="7C8E32FD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48870" w14:textId="76470DF7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2C05" w14:textId="1EEFB8E4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75F7" w:rsidRPr="00C675F7" w14:paraId="10E93F99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D475F" w14:textId="6D94B58D" w:rsidR="00C675F7" w:rsidRPr="00C675F7" w:rsidRDefault="00C675F7" w:rsidP="00C675F7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5.5.3 Pomoći iz drugih proračuna JVP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7C69A" w14:textId="7D05E14C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AD98A" w14:textId="65A12335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84391" w14:textId="71D0992B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519F8" w14:textId="6A90FC8E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2884" w14:textId="5735D031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C675F7" w:rsidRPr="00542C58" w14:paraId="0415CAC4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C4B6" w14:textId="4680C443" w:rsidR="00C675F7" w:rsidRDefault="00C675F7" w:rsidP="00C675F7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6.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E5B5F" w14:textId="54F61DB9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4.248,41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442E0" w14:textId="00DF24D1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64C7D" w14:textId="0B941AE7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12B54" w14:textId="4BD8D381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82024" w14:textId="5836DB0F" w:rsid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75F7" w:rsidRPr="00C675F7" w14:paraId="641D21D4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2DB9D" w14:textId="4B7EB2DA" w:rsidR="00C675F7" w:rsidRPr="00C675F7" w:rsidRDefault="00C675F7" w:rsidP="00C675F7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Izvor 6.2. Donacije JVP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FE84E" w14:textId="56A03E5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4.248,41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FE31C" w14:textId="5C83A38F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7CCC" w14:textId="412681A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84680" w14:textId="7D481823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4C4D" w14:textId="51D2F352" w:rsidR="00C675F7" w:rsidRPr="00C675F7" w:rsidRDefault="00C675F7" w:rsidP="00C675F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5F7"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</w:tr>
      <w:tr w:rsidR="00145C91" w:rsidRPr="00542C58" w14:paraId="2F3510BF" w14:textId="77777777" w:rsidTr="005177FC">
        <w:trPr>
          <w:trHeight w:val="288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544" w14:textId="77777777" w:rsidR="00542C58" w:rsidRDefault="00542C58" w:rsidP="00C35E9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2F27C95D" w14:textId="77777777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B47" w14:textId="77777777" w:rsidR="00A1445B" w:rsidRDefault="00A1445B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  <w:p w14:paraId="2464CA21" w14:textId="77777777" w:rsidR="00A1445B" w:rsidRPr="00542C58" w:rsidRDefault="00A1445B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98E" w14:textId="77777777" w:rsidR="00542C58" w:rsidRPr="00542C58" w:rsidRDefault="00542C58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70F" w14:textId="77777777" w:rsidR="00542C58" w:rsidRPr="00542C58" w:rsidRDefault="00542C58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88F" w14:textId="77777777" w:rsidR="00542C58" w:rsidRPr="00542C58" w:rsidRDefault="00542C58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52E" w14:textId="77777777" w:rsidR="00542C58" w:rsidRPr="00542C58" w:rsidRDefault="00542C58" w:rsidP="00542C58">
            <w:pPr>
              <w:widowControl/>
              <w:suppressAutoHyphens w:val="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2C58" w:rsidRPr="00542C58" w14:paraId="4A51B8E3" w14:textId="77777777" w:rsidTr="005177FC">
        <w:trPr>
          <w:trHeight w:val="315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2CC1" w14:textId="77777777" w:rsidR="00542C58" w:rsidRPr="00542C58" w:rsidRDefault="00542C58" w:rsidP="00542C5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RASHODI POSLOVANJA PREMA IZVORIMA FINANCIRANJA</w:t>
            </w:r>
          </w:p>
        </w:tc>
      </w:tr>
      <w:tr w:rsidR="00C675F7" w:rsidRPr="00542C58" w14:paraId="4D3C1133" w14:textId="77777777" w:rsidTr="005177FC">
        <w:trPr>
          <w:trHeight w:val="52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70158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Brojčana oznaka i 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B434B" w14:textId="75DB7109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1622D" w14:textId="688F40F2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0083A" w14:textId="626CF6BF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87589" w14:textId="681EB183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1CD41" w14:textId="4161E514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EB2E61" w14:paraId="7CEC30C0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FE41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/ IZDACI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ab/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D2B0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362.500,51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C69B3" w14:textId="227E1E00" w:rsidR="00EB2E61" w:rsidRDefault="00CE16B6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</w:t>
            </w:r>
            <w:r w:rsidR="00EB2E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</w:t>
            </w:r>
            <w:r w:rsidR="00EB2E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E7F8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607.966,00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FD2B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611.273,50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3FED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614.388,29</w:t>
            </w:r>
          </w:p>
        </w:tc>
      </w:tr>
      <w:tr w:rsidR="00EB2E61" w14:paraId="6DE36613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24CC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1. OPĆI PRIHODI I PRIMICI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143B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100.409,10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FEDE" w14:textId="5BD83525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CE16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.8</w:t>
            </w:r>
            <w:r w:rsidR="00CE16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3F8D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4C0D7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357.807,50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CFEC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360.822,29</w:t>
            </w:r>
          </w:p>
        </w:tc>
      </w:tr>
      <w:tr w:rsidR="00EB2E61" w:rsidRPr="00EB2E61" w14:paraId="067E5730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FE2D5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1.1. OPĆI PRIHODI I PRIMICI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D1C0D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92.445,42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CF5B" w14:textId="0E5829D0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CE16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.900,00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851C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346.600,00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8612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349.807,50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46F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352.822,29</w:t>
            </w:r>
          </w:p>
        </w:tc>
      </w:tr>
      <w:tr w:rsidR="00EB2E61" w:rsidRPr="00EB2E61" w14:paraId="473C9DE8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7DAB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1.2. Prihodi od suosnivača JVP - Vladislavci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54E1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251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3.980,00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A5AA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6173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2176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</w:tr>
      <w:tr w:rsidR="00EB2E61" w:rsidRPr="00EB2E61" w14:paraId="16FA639E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B8CD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1.3. Prihodi od suosnivača JVP - Vuka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4590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3.981,68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66CE" w14:textId="1BAFE452" w:rsidR="00EB2E61" w:rsidRPr="00EB2E61" w:rsidRDefault="00CE16B6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EB2E61"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EB2E61"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6DF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BF0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C5D76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</w:tr>
      <w:tr w:rsidR="00EB2E61" w14:paraId="3E2FC2DC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C5FAB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3. VLASTITI PRIHODI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F061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3.888,62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8810" w14:textId="1202870E" w:rsidR="00EB2E61" w:rsidRDefault="00CE16B6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EB2E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EB2E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AAF3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FDA6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AD2F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3.800,00</w:t>
            </w:r>
          </w:p>
        </w:tc>
      </w:tr>
      <w:tr w:rsidR="00EB2E61" w:rsidRPr="00EB2E61" w14:paraId="769BE33E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4325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3.3. VLASTITI PRIHODI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6E8E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3.888,62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F0716" w14:textId="372E4DD7" w:rsidR="00EB2E61" w:rsidRPr="00EB2E61" w:rsidRDefault="00CE16B6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EB2E61"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EB2E61"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DE7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63E4A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3.700,00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08C86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3.800,00</w:t>
            </w:r>
          </w:p>
        </w:tc>
      </w:tr>
      <w:tr w:rsidR="00EB2E61" w14:paraId="2A07006F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B762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5. POMOĆI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C4E0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253.954,38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8225" w14:textId="4005974E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243.</w:t>
            </w:r>
            <w:r w:rsidR="00CE16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84D4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244.266,00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AC7C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244.266,00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C100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244.266,00</w:t>
            </w:r>
          </w:p>
        </w:tc>
      </w:tr>
      <w:tr w:rsidR="00EB2E61" w:rsidRPr="00EB2E61" w14:paraId="27E2805E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62AF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5.1. Tekuće i kapitalne pomoći unutar općeg proračuna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690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2.249,16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F38D" w14:textId="459AD3B6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CE16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724</w:t>
            </w: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,31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6966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4D9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86408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</w:tr>
      <w:tr w:rsidR="00EB2E61" w:rsidRPr="00EB2E61" w14:paraId="7ED641F7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35A7C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5.1.1 Tekuće pomoći iz državnog proračuna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8CE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2.249,16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52980" w14:textId="046636F1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CE16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724</w:t>
            </w: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,31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D41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63FDC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BC08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3.240,00</w:t>
            </w:r>
          </w:p>
        </w:tc>
      </w:tr>
      <w:tr w:rsidR="00EB2E61" w14:paraId="5FFDFD71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D905F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5.3. POMOĆI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B181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219.355,59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8F1C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236.026,00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F8B7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236.026,00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729F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236.026,00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53E91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236.026,00</w:t>
            </w:r>
          </w:p>
        </w:tc>
      </w:tr>
      <w:tr w:rsidR="00EB2E61" w:rsidRPr="00EB2E61" w14:paraId="7A5087E1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0BDCE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5.3.1 Tekuće pomoći izravnanja za decentralizirane funkcije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5181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218.024,51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A54C" w14:textId="1A646FB0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CE16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.026,00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0983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229.026,00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FA334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229.026,00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0012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229.026,00</w:t>
            </w:r>
          </w:p>
        </w:tc>
      </w:tr>
      <w:tr w:rsidR="00EB2E61" w:rsidRPr="00EB2E61" w14:paraId="66A7CCC6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BEAB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5.3.2 Prihodi od dodatnog udjela PND Vladislavci i Vuka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B526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1.331,08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2A68" w14:textId="6F94E9B6" w:rsidR="00EB2E61" w:rsidRPr="00EB2E61" w:rsidRDefault="00CE16B6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EB2E61"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82B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8365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7628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</w:tr>
      <w:tr w:rsidR="00EB2E61" w14:paraId="34DB5FB4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BC98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5.5. Pomoći proračunskim korisnicima iz proračuna koji im nije nadležan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41669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32.349,63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C751E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B181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5EC9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C02FD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</w:tr>
      <w:tr w:rsidR="00EB2E61" w:rsidRPr="00EB2E61" w14:paraId="2C6AE53F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5448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5.5.3 Pomoći iz drugih proračuna JVP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B0F0A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DD7B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9245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520F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DFFD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</w:tr>
      <w:tr w:rsidR="00EB2E61" w14:paraId="1F7474BD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970F0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6. DONACIJE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73A9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4.248,41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6D909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10269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75AC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272B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</w:tr>
      <w:tr w:rsidR="00EB2E61" w:rsidRPr="00EB2E61" w14:paraId="42EFEF07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F4183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6.2. Donacije JVP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873E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4.248,41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258C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4565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3363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C601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5.500,00</w:t>
            </w:r>
          </w:p>
        </w:tc>
      </w:tr>
      <w:tr w:rsidR="00EB2E61" w14:paraId="62A5377A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8481" w14:textId="670CBA70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9. Ostalo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F4DA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F436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7.056,22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969E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CF44E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2410" w14:textId="77777777" w:rsid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EB2E61" w:rsidRPr="00EB2E61" w14:paraId="44A2C71E" w14:textId="77777777" w:rsidTr="005177F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2FF7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Izvor 9.3. Višak prihoda PK JVP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189B2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582A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7.056,22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F2FAD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F9AE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6F89" w14:textId="77777777" w:rsidR="00EB2E61" w:rsidRPr="00EB2E61" w:rsidRDefault="00EB2E61" w:rsidP="00EB2E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B2E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</w:tbl>
    <w:p w14:paraId="1BB25F78" w14:textId="77777777" w:rsidR="008E5F2B" w:rsidRDefault="008E5F2B" w:rsidP="008E5F2B">
      <w:pPr>
        <w:spacing w:line="276" w:lineRule="auto"/>
        <w:jc w:val="both"/>
        <w:rPr>
          <w:rFonts w:cs="Times New Roman"/>
          <w:b/>
          <w:bCs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371"/>
        <w:gridCol w:w="1701"/>
        <w:gridCol w:w="1276"/>
        <w:gridCol w:w="1559"/>
        <w:gridCol w:w="1560"/>
        <w:gridCol w:w="1417"/>
      </w:tblGrid>
      <w:tr w:rsidR="00542C58" w:rsidRPr="00542C58" w14:paraId="27609479" w14:textId="77777777" w:rsidTr="00542C58">
        <w:trPr>
          <w:trHeight w:val="312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3BF3" w14:textId="77777777" w:rsidR="00542C58" w:rsidRPr="00542C58" w:rsidRDefault="00542C58" w:rsidP="00C35E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RASHODI PREMA FUNKCIJSKOJ KLASIFIKACIJI</w:t>
            </w:r>
          </w:p>
        </w:tc>
      </w:tr>
      <w:tr w:rsidR="00C675F7" w:rsidRPr="00542C58" w14:paraId="0961E9EE" w14:textId="77777777" w:rsidTr="00542C58">
        <w:trPr>
          <w:trHeight w:val="5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83762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19A9E" w14:textId="4ED5D48C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58E72" w14:textId="6DE63EF4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6663B" w14:textId="5AF95DCE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CD5D3" w14:textId="65D38D1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3EB2D" w14:textId="32EA64C6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5177FC" w:rsidRPr="00542C58" w14:paraId="3C6AB4F4" w14:textId="77777777" w:rsidTr="005177F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F501" w14:textId="77777777" w:rsidR="005177FC" w:rsidRPr="00542C58" w:rsidRDefault="005177FC" w:rsidP="005177F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DAEA" w14:textId="30CC3CF5" w:rsidR="005177FC" w:rsidRPr="00542C58" w:rsidRDefault="005177FC" w:rsidP="005177F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362.500,51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1BA6" w14:textId="0FD20A6E" w:rsidR="005177FC" w:rsidRPr="00542C58" w:rsidRDefault="00CE16B6" w:rsidP="005177F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8493" w14:textId="3D31EDD9" w:rsidR="005177FC" w:rsidRPr="00542C58" w:rsidRDefault="005177FC" w:rsidP="005177F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CA01" w14:textId="701E2609" w:rsidR="005177FC" w:rsidRPr="00542C58" w:rsidRDefault="005177FC" w:rsidP="005177F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5098" w14:textId="3262346F" w:rsidR="005177FC" w:rsidRPr="00542C58" w:rsidRDefault="005177FC" w:rsidP="005177F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CE16B6" w:rsidRPr="00542C58" w14:paraId="690374A3" w14:textId="77777777" w:rsidTr="005177F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D765" w14:textId="77777777" w:rsidR="00CE16B6" w:rsidRPr="00542C58" w:rsidRDefault="00CE16B6" w:rsidP="00CE16B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03 Javni red i sigurnost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26F7" w14:textId="2C2F50CA" w:rsidR="00CE16B6" w:rsidRPr="00542C58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362.500,51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B370" w14:textId="0ED02F39" w:rsidR="00CE16B6" w:rsidRPr="00542C58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535.786,53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422" w14:textId="0257569D" w:rsidR="00CE16B6" w:rsidRPr="00542C58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7B08" w14:textId="50276B98" w:rsidR="00CE16B6" w:rsidRPr="00542C58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8ABE" w14:textId="2167F3A3" w:rsidR="00CE16B6" w:rsidRPr="00542C58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614.388,29</w:t>
            </w:r>
          </w:p>
        </w:tc>
      </w:tr>
      <w:tr w:rsidR="00CE16B6" w:rsidRPr="00542C58" w14:paraId="02C2C914" w14:textId="77777777" w:rsidTr="005177FC">
        <w:trPr>
          <w:trHeight w:val="2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8B59" w14:textId="77777777" w:rsidR="00CE16B6" w:rsidRPr="00542C58" w:rsidRDefault="00CE16B6" w:rsidP="00CE16B6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  <w:t>032 Usluge protupožarne zaštite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B206" w14:textId="4342E220" w:rsidR="00CE16B6" w:rsidRPr="00CE16B6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E16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362.500,51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37BD" w14:textId="34949744" w:rsidR="00CE16B6" w:rsidRPr="00CE16B6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E16B6">
              <w:rPr>
                <w:rFonts w:ascii="Arial" w:hAnsi="Arial" w:cs="Arial"/>
                <w:i/>
                <w:iCs/>
                <w:sz w:val="20"/>
                <w:szCs w:val="20"/>
              </w:rPr>
              <w:t>535.786,53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4A44" w14:textId="391E11D9" w:rsidR="00CE16B6" w:rsidRPr="00CE16B6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E16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EF3D" w14:textId="6D2080CC" w:rsidR="00CE16B6" w:rsidRPr="00CE16B6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E16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DD82" w14:textId="1C3074BF" w:rsidR="00CE16B6" w:rsidRPr="00CE16B6" w:rsidRDefault="00CE16B6" w:rsidP="00CE16B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CE16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614.388,29</w:t>
            </w:r>
          </w:p>
        </w:tc>
      </w:tr>
    </w:tbl>
    <w:p w14:paraId="6A666834" w14:textId="77777777" w:rsidR="00542C58" w:rsidRDefault="00542C58" w:rsidP="008E5F2B">
      <w:pPr>
        <w:spacing w:line="276" w:lineRule="auto"/>
        <w:jc w:val="both"/>
        <w:rPr>
          <w:rFonts w:cs="Times New Roman"/>
          <w:b/>
          <w:bCs/>
        </w:rPr>
      </w:pPr>
    </w:p>
    <w:tbl>
      <w:tblPr>
        <w:tblW w:w="18258" w:type="dxa"/>
        <w:tblLook w:val="04A0" w:firstRow="1" w:lastRow="0" w:firstColumn="1" w:lastColumn="0" w:noHBand="0" w:noVBand="1"/>
      </w:tblPr>
      <w:tblGrid>
        <w:gridCol w:w="883"/>
        <w:gridCol w:w="994"/>
        <w:gridCol w:w="5494"/>
        <w:gridCol w:w="1701"/>
        <w:gridCol w:w="1276"/>
        <w:gridCol w:w="1559"/>
        <w:gridCol w:w="1560"/>
        <w:gridCol w:w="1361"/>
        <w:gridCol w:w="3430"/>
      </w:tblGrid>
      <w:tr w:rsidR="00542C58" w:rsidRPr="00542C58" w14:paraId="7BD52E5C" w14:textId="77777777" w:rsidTr="00542C58">
        <w:trPr>
          <w:trHeight w:val="360"/>
        </w:trPr>
        <w:tc>
          <w:tcPr>
            <w:tcW w:w="18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6785" w14:textId="77777777" w:rsidR="00542C58" w:rsidRPr="00542C58" w:rsidRDefault="00542C58" w:rsidP="00C35E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B. RAČUN FINANCIRANJA PREMA EKONOMSKOJ KLASIFIKACIJI</w:t>
            </w:r>
          </w:p>
        </w:tc>
      </w:tr>
      <w:tr w:rsidR="00C675F7" w:rsidRPr="00542C58" w14:paraId="27FC500E" w14:textId="77777777" w:rsidTr="00542C58">
        <w:trPr>
          <w:gridAfter w:val="1"/>
          <w:wAfter w:w="3430" w:type="dxa"/>
          <w:trHeight w:val="52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2C856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C6B00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Skupina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1BE16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618B9" w14:textId="03CE434F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5D07" w14:textId="56008E41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0BDFF" w14:textId="316F455F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59B0E" w14:textId="66112C94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A437F" w14:textId="51E74010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542C58" w:rsidRPr="00542C58" w14:paraId="6C502F24" w14:textId="77777777" w:rsidTr="00DD48F4">
        <w:trPr>
          <w:gridAfter w:val="1"/>
          <w:wAfter w:w="3430" w:type="dxa"/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8BD" w14:textId="77777777" w:rsidR="00542C58" w:rsidRPr="00542C58" w:rsidRDefault="00542C58" w:rsidP="00542C5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5D" w14:textId="77777777" w:rsidR="00542C58" w:rsidRPr="00542C58" w:rsidRDefault="00542C58" w:rsidP="00542C5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0D3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D6A8" w14:textId="479430A4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BA01" w14:textId="1BE9E2B6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A370" w14:textId="5F6290F6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C8E5" w14:textId="70CEE33F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BE6E" w14:textId="2A5EEEBF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</w:tr>
      <w:tr w:rsidR="00542C58" w:rsidRPr="00542C58" w14:paraId="78F4BD3D" w14:textId="77777777" w:rsidTr="00A1445B">
        <w:trPr>
          <w:gridAfter w:val="1"/>
          <w:wAfter w:w="3430" w:type="dxa"/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03F7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0F05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90F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IZDACI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60EA" w14:textId="5259A806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AA08" w14:textId="47AC565C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B127" w14:textId="60FD76D6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DA25" w14:textId="6C5DE036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8106" w14:textId="6722C5EE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</w:tr>
    </w:tbl>
    <w:p w14:paraId="7B56A42A" w14:textId="77777777" w:rsidR="00542C58" w:rsidRDefault="00542C58" w:rsidP="008E5F2B">
      <w:pPr>
        <w:spacing w:line="276" w:lineRule="auto"/>
        <w:jc w:val="both"/>
        <w:rPr>
          <w:rFonts w:cs="Times New Roman"/>
          <w:b/>
          <w:bCs/>
        </w:rPr>
      </w:pPr>
    </w:p>
    <w:tbl>
      <w:tblPr>
        <w:tblW w:w="16440" w:type="dxa"/>
        <w:tblLook w:val="04A0" w:firstRow="1" w:lastRow="0" w:firstColumn="1" w:lastColumn="0" w:noHBand="0" w:noVBand="1"/>
      </w:tblPr>
      <w:tblGrid>
        <w:gridCol w:w="7371"/>
        <w:gridCol w:w="1701"/>
        <w:gridCol w:w="1276"/>
        <w:gridCol w:w="1559"/>
        <w:gridCol w:w="1560"/>
        <w:gridCol w:w="1417"/>
        <w:gridCol w:w="1556"/>
      </w:tblGrid>
      <w:tr w:rsidR="00542C58" w:rsidRPr="00542C58" w14:paraId="3411EED6" w14:textId="77777777" w:rsidTr="00542C58">
        <w:trPr>
          <w:trHeight w:val="360"/>
        </w:trPr>
        <w:tc>
          <w:tcPr>
            <w:tcW w:w="1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E109" w14:textId="77777777" w:rsidR="00542C58" w:rsidRPr="00542C58" w:rsidRDefault="00542C58" w:rsidP="00C35E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B. RAČUN FINANCIRANJA PREMA IZVORIMA FINANCIRANJA</w:t>
            </w:r>
          </w:p>
        </w:tc>
      </w:tr>
      <w:tr w:rsidR="00C675F7" w:rsidRPr="00542C58" w14:paraId="2A10ABEF" w14:textId="77777777" w:rsidTr="00542C58">
        <w:trPr>
          <w:gridAfter w:val="1"/>
          <w:wAfter w:w="1556" w:type="dxa"/>
          <w:trHeight w:val="528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B2379" w14:textId="77777777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C9E45" w14:textId="19297E86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07138" w14:textId="3BCF08FA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43502" w14:textId="39191035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25908" w14:textId="4C9700E4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E5070" w14:textId="14A3D750" w:rsidR="00C675F7" w:rsidRPr="00542C58" w:rsidRDefault="00C675F7" w:rsidP="00C675F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542C58" w:rsidRPr="00542C58" w14:paraId="09830A40" w14:textId="77777777" w:rsidTr="00542C58">
        <w:trPr>
          <w:gridAfter w:val="1"/>
          <w:wAfter w:w="1556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C218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PRIMICI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2FD7E" w14:textId="6D77A287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9E66" w14:textId="039EDB3F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5771" w14:textId="41FA9088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6038" w14:textId="1F9F6851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19D6" w14:textId="41EF12CD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</w:tr>
      <w:tr w:rsidR="00542C58" w:rsidRPr="00542C58" w14:paraId="1D202DB0" w14:textId="77777777" w:rsidTr="00542C58">
        <w:trPr>
          <w:gridAfter w:val="1"/>
          <w:wAfter w:w="1556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329" w14:textId="77777777" w:rsidR="00542C58" w:rsidRPr="00542C58" w:rsidRDefault="00542C58" w:rsidP="00542C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hr-HR" w:bidi="ar-SA"/>
              </w:rPr>
              <w:t>IZDACI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5AA3" w14:textId="6FB49054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0B09" w14:textId="316B626D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40B8" w14:textId="77C6D41F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EB4A1" w14:textId="0F9D97E1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3989" w14:textId="23581A2A" w:rsidR="00542C58" w:rsidRPr="00542C58" w:rsidRDefault="00542C58" w:rsidP="00542C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-   </w:t>
            </w:r>
          </w:p>
        </w:tc>
      </w:tr>
    </w:tbl>
    <w:p w14:paraId="702D075A" w14:textId="77777777" w:rsidR="00542C58" w:rsidRDefault="00542C58" w:rsidP="008E5F2B">
      <w:pPr>
        <w:spacing w:line="276" w:lineRule="auto"/>
        <w:jc w:val="both"/>
        <w:rPr>
          <w:rFonts w:cs="Times New Roman"/>
          <w:b/>
          <w:bCs/>
        </w:rPr>
      </w:pPr>
    </w:p>
    <w:p w14:paraId="2A90D057" w14:textId="77777777" w:rsidR="00C35E93" w:rsidRDefault="00C35E93" w:rsidP="008E5F2B">
      <w:pPr>
        <w:spacing w:line="276" w:lineRule="auto"/>
        <w:jc w:val="both"/>
        <w:rPr>
          <w:rFonts w:cs="Times New Roman"/>
          <w:b/>
          <w:bCs/>
        </w:rPr>
      </w:pPr>
    </w:p>
    <w:p w14:paraId="50B70B5F" w14:textId="77777777" w:rsidR="00C35E93" w:rsidRDefault="00C35E93" w:rsidP="008E5F2B">
      <w:pPr>
        <w:spacing w:line="276" w:lineRule="auto"/>
        <w:jc w:val="both"/>
        <w:rPr>
          <w:rFonts w:cs="Times New Roman"/>
          <w:b/>
          <w:bCs/>
        </w:rPr>
      </w:pPr>
    </w:p>
    <w:p w14:paraId="2F822116" w14:textId="77777777" w:rsidR="00C35E93" w:rsidRDefault="00C35E93" w:rsidP="008E5F2B">
      <w:pPr>
        <w:spacing w:line="276" w:lineRule="auto"/>
        <w:jc w:val="both"/>
        <w:rPr>
          <w:rFonts w:cs="Times New Roman"/>
          <w:b/>
          <w:bCs/>
        </w:rPr>
      </w:pPr>
    </w:p>
    <w:p w14:paraId="525F0A94" w14:textId="77777777" w:rsidR="00C35E93" w:rsidRDefault="00C35E93" w:rsidP="008E5F2B">
      <w:pPr>
        <w:spacing w:line="276" w:lineRule="auto"/>
        <w:jc w:val="both"/>
        <w:rPr>
          <w:rFonts w:cs="Times New Roman"/>
          <w:b/>
          <w:bCs/>
        </w:rPr>
      </w:pPr>
    </w:p>
    <w:tbl>
      <w:tblPr>
        <w:tblW w:w="15591" w:type="dxa"/>
        <w:tblLook w:val="04A0" w:firstRow="1" w:lastRow="0" w:firstColumn="1" w:lastColumn="0" w:noHBand="0" w:noVBand="1"/>
      </w:tblPr>
      <w:tblGrid>
        <w:gridCol w:w="1460"/>
        <w:gridCol w:w="6580"/>
        <w:gridCol w:w="1328"/>
        <w:gridCol w:w="1217"/>
        <w:gridCol w:w="1217"/>
        <w:gridCol w:w="1495"/>
        <w:gridCol w:w="1495"/>
        <w:gridCol w:w="799"/>
      </w:tblGrid>
      <w:tr w:rsidR="00542C58" w:rsidRPr="00542C58" w14:paraId="1C1FEA9D" w14:textId="77777777" w:rsidTr="005177FC">
        <w:trPr>
          <w:trHeight w:val="360"/>
        </w:trPr>
        <w:tc>
          <w:tcPr>
            <w:tcW w:w="15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4E7D" w14:textId="77777777" w:rsidR="00542C58" w:rsidRPr="00542C58" w:rsidRDefault="00542C58" w:rsidP="00C35E93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42C5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II. POSEBNI DIO</w:t>
            </w:r>
          </w:p>
        </w:tc>
      </w:tr>
      <w:tr w:rsidR="005177FC" w14:paraId="2C8A8494" w14:textId="77777777" w:rsidTr="005177FC">
        <w:trPr>
          <w:gridAfter w:val="1"/>
          <w:wAfter w:w="799" w:type="dxa"/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6FB4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0410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B215" w14:textId="539CC81A" w:rsidR="005177FC" w:rsidRDefault="005177FC" w:rsidP="00C35E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820E" w14:textId="0AA14930" w:rsidR="005177FC" w:rsidRDefault="005177FC" w:rsidP="00C35E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364C" w14:textId="45D1FE50" w:rsidR="005177FC" w:rsidRDefault="005177FC" w:rsidP="00C35E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A19B" w14:textId="7E2649AF" w:rsidR="005177FC" w:rsidRDefault="005177FC" w:rsidP="00C35E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804B" w14:textId="10171E03" w:rsidR="005177FC" w:rsidRDefault="005177FC" w:rsidP="00C35E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Projekcija 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br/>
              <w:t>za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497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</w:tr>
      <w:tr w:rsidR="005177FC" w14:paraId="6ACE8434" w14:textId="77777777" w:rsidTr="00807B78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F89B" w14:textId="0B229AE4" w:rsidR="005177FC" w:rsidRDefault="005177FC" w:rsidP="00807B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 PRIHODI / PRIMICI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402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326.320,02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FCF2" w14:textId="3E59EA58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A444D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444D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B58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6E7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433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5177FC" w14:paraId="4C77F70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9D87264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3003 ORGANIZIRANJE I PROVOĐENJE ZAŠTITE I SPAŠAVANJA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A9366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326.320,02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99D41B" w14:textId="64083CF3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0A4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  <w:r w:rsidR="000A4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D6AE7D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94D5A1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785A0D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614.388,29</w:t>
            </w:r>
          </w:p>
        </w:tc>
      </w:tr>
      <w:tr w:rsidR="005177FC" w14:paraId="7C1506B2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4D883D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A300336 Rad javne vatrogasne postrojbe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704FD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326.320,02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B305F4" w14:textId="45FD6B33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0A4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  <w:r w:rsidR="000A4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F8333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D27D9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288F7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614.388,29</w:t>
            </w:r>
          </w:p>
        </w:tc>
      </w:tr>
      <w:tr w:rsidR="005177FC" w14:paraId="6047759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AED087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829A3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89.196,44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641624" w14:textId="799176EC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CE1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B21FD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7C873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349.807,50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C62C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352.822,29</w:t>
            </w:r>
          </w:p>
        </w:tc>
      </w:tr>
      <w:tr w:rsidR="005177FC" w14:paraId="70561EC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0C41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F0C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89.196,44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FF78" w14:textId="2FBFD94E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72E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559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349.807,50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731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352.822,29</w:t>
            </w:r>
          </w:p>
        </w:tc>
      </w:tr>
      <w:tr w:rsidR="005177FC" w:rsidRPr="005177FC" w14:paraId="40E695D2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090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0C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89.196,44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4F87" w14:textId="6F90F95B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</w:t>
            </w:r>
            <w:r w:rsidR="003F2C42">
              <w:rPr>
                <w:rFonts w:ascii="Arial" w:hAnsi="Arial" w:cs="Arial"/>
                <w:sz w:val="20"/>
                <w:szCs w:val="20"/>
              </w:rPr>
              <w:t>71</w:t>
            </w:r>
            <w:r w:rsidRPr="005177FC">
              <w:rPr>
                <w:rFonts w:ascii="Arial" w:hAnsi="Arial" w:cs="Arial"/>
                <w:sz w:val="20"/>
                <w:szCs w:val="20"/>
              </w:rPr>
              <w:t>.148,98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BD1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346.600,00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0D6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349.807,50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C70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352.822,29</w:t>
            </w:r>
          </w:p>
        </w:tc>
      </w:tr>
      <w:tr w:rsidR="005177FC" w14:paraId="293A023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0E5E25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1.2. Prihodi od suosnivača JVP - Vladislavci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3EAED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C77D6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228A7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27045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DD98C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5177FC" w14:paraId="0E55C3F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F5F0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B8A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40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666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92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251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5177FC" w:rsidRPr="005177FC" w14:paraId="2BDC3A6C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670D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22A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3.982,00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651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3.980,00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157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68D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E34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5177FC" w14:paraId="13E7A43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BA0A37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1.3. Prihodi od suosnivača JVP - Vuka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26B6A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3AC464" w14:textId="7D5727C7" w:rsid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8D1D5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ABC44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950B8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5177FC" w14:paraId="56F4D5A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978B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921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3.981,68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CAC8" w14:textId="3C7CFFB5" w:rsid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449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20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761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5177FC" w:rsidRPr="005177FC" w14:paraId="02002040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23B8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037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3.981,68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B9DC" w14:textId="04FBED64" w:rsidR="005177FC" w:rsidRP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E74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EED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18E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5177FC" w14:paraId="46E6698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E1F1EB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3.3. VLASTITI PRIHODI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0AA6D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3.888,62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AEF76B" w14:textId="6DB5B4C8" w:rsid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56AD0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37866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2C207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</w:tr>
      <w:tr w:rsidR="005177FC" w14:paraId="2C24F9F1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E990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EF6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3.888,62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6E87" w14:textId="74E4AD9F" w:rsid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13B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828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C16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3.800,00</w:t>
            </w:r>
          </w:p>
        </w:tc>
      </w:tr>
      <w:tr w:rsidR="005177FC" w:rsidRPr="005177FC" w14:paraId="547D5E33" w14:textId="77777777" w:rsidTr="005177FC">
        <w:trPr>
          <w:gridAfter w:val="1"/>
          <w:wAfter w:w="799" w:type="dxa"/>
          <w:trHeight w:val="51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564C0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D73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3.888,62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4A8A" w14:textId="509E58BD" w:rsidR="005177FC" w:rsidRPr="005177FC" w:rsidRDefault="00CE16B6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4F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189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7F2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3.800,00</w:t>
            </w:r>
          </w:p>
        </w:tc>
      </w:tr>
      <w:tr w:rsidR="005177FC" w14:paraId="7E0712C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93B29A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Tekuće i kapitalne pomoći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37A34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E97E8" w14:textId="1E73F9FB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9667F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1F298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89D04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</w:tr>
      <w:tr w:rsidR="005177FC" w14:paraId="10E8A194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0294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E11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72BD" w14:textId="7E1744CE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988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AA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626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</w:tr>
      <w:tr w:rsidR="005177FC" w:rsidRPr="005177FC" w14:paraId="2CE5526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6429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7F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FEEA" w14:textId="6437D90B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sz w:val="20"/>
                <w:szCs w:val="20"/>
              </w:rPr>
              <w:t>3</w:t>
            </w:r>
            <w:r w:rsidRPr="005177FC">
              <w:rPr>
                <w:rFonts w:ascii="Arial" w:hAnsi="Arial" w:cs="Arial"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sz w:val="20"/>
                <w:szCs w:val="20"/>
              </w:rPr>
              <w:t>323</w:t>
            </w:r>
            <w:r w:rsidRPr="005177FC">
              <w:rPr>
                <w:rFonts w:ascii="Arial" w:hAnsi="Arial" w:cs="Arial"/>
                <w:sz w:val="20"/>
                <w:szCs w:val="20"/>
              </w:rPr>
              <w:t>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42D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A78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41E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3.240,00</w:t>
            </w:r>
          </w:p>
        </w:tc>
      </w:tr>
      <w:tr w:rsidR="005177FC" w14:paraId="6E02642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96B79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5.3. POMOĆI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0F1AD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216.022,87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84857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242.662,08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01E3C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8C1B3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FBEEB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</w:tr>
      <w:tr w:rsidR="005177FC" w14:paraId="7CDDA85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45C5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7E7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216.022,87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7F3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242.662,08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39D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091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316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</w:tr>
      <w:tr w:rsidR="00EE26C3" w:rsidRPr="005177FC" w14:paraId="7998B38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15E" w14:textId="77777777" w:rsidR="00EE26C3" w:rsidRPr="005177FC" w:rsidRDefault="00EE26C3" w:rsidP="00EE26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F32A" w14:textId="5C1187D7" w:rsidR="00EE26C3" w:rsidRPr="005177FC" w:rsidRDefault="00EE26C3" w:rsidP="00EE26C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4.634,44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814D" w14:textId="215D0808" w:rsidR="00EE26C3" w:rsidRPr="005177FC" w:rsidRDefault="00EE26C3" w:rsidP="00EE26C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177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5177FC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4827" w14:textId="77777777" w:rsidR="00EE26C3" w:rsidRPr="005177FC" w:rsidRDefault="00EE26C3" w:rsidP="00EE26C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090" w14:textId="77777777" w:rsidR="00EE26C3" w:rsidRPr="005177FC" w:rsidRDefault="00EE26C3" w:rsidP="00EE26C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8979" w14:textId="77777777" w:rsidR="00EE26C3" w:rsidRPr="005177FC" w:rsidRDefault="00EE26C3" w:rsidP="00EE26C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5177FC" w:rsidRPr="005177FC" w14:paraId="72277D06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5AAB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527A" w14:textId="34401D0E" w:rsidR="005177FC" w:rsidRPr="005177FC" w:rsidRDefault="00EE26C3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211.388,43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CBA4" w14:textId="531BB537" w:rsidR="005177FC" w:rsidRP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235.662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2AB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229.026,00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98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229.026,00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E86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229.026,00</w:t>
            </w:r>
          </w:p>
        </w:tc>
      </w:tr>
      <w:tr w:rsidR="005177FC" w14:paraId="7C1AEBF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F44590" w14:textId="03AD81E4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5.5. Pomoći proračunskim korisnicima iz proračuna koji im nije na</w:t>
            </w:r>
            <w:r w:rsidR="00EE26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dležan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1DA53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80B3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B32DD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F1C04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697E3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5177FC" w14:paraId="4A69E026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B46D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89D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11E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DF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429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E1A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5177FC" w:rsidRPr="005177FC" w14:paraId="58DF961B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E918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2F0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522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16E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78D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65F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5177FC" w14:paraId="5454C81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8E758F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6.2. Donacije JVP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40AA1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C9341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DFBE4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94846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A8947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5177FC" w14:paraId="000C37CA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D893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69A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F4E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FA9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063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5A3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5177FC" w:rsidRPr="005177FC" w14:paraId="28D4229B" w14:textId="77777777" w:rsidTr="005177FC">
        <w:trPr>
          <w:gridAfter w:val="1"/>
          <w:wAfter w:w="799" w:type="dxa"/>
          <w:trHeight w:val="510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EB0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DFD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4.248,41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AF4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CF4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9F8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7FE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</w:tr>
      <w:tr w:rsidR="005177FC" w14:paraId="6254768D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404BA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9.3. Višak prihoda PK JVP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A44BF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03496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22D16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C7202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2833B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7FC" w14:paraId="58591E2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EA38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4ED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836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7.056,22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B75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9C4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826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659A459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9B42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 Rezultat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16E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8E4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7.056,22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0F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E2D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0F8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08C7CC49" w14:textId="77777777" w:rsidTr="00CA7293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F351" w14:textId="2F990AFC" w:rsidR="005177FC" w:rsidRDefault="005177FC" w:rsidP="003F2C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UKUPNO RASHODI / IZDACI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A7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362.500,51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B46A" w14:textId="23CF300F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4E8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786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544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614.388,29</w:t>
            </w:r>
          </w:p>
        </w:tc>
      </w:tr>
      <w:tr w:rsidR="005177FC" w14:paraId="3A856F10" w14:textId="77777777" w:rsidTr="00CA7293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925805A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3003 ORGANIZIRANJE I PROVOĐENJE ZAŠTITE I SPAŠAVANJA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EB9B3E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362.500,51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5381330" w14:textId="08F31413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0A44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34509F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A9BB69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2B8E71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614.388,29</w:t>
            </w:r>
          </w:p>
        </w:tc>
      </w:tr>
      <w:tr w:rsidR="005177FC" w14:paraId="07BA3D2E" w14:textId="77777777" w:rsidTr="00CA7293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028444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A300336 Rad javne vatrogasne postrojbe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98FB2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362.500,51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E891FD" w14:textId="79D0AB6D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356A0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607.966,00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30930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611.273,50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86997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614.388,29</w:t>
            </w:r>
          </w:p>
        </w:tc>
      </w:tr>
      <w:tr w:rsidR="005177FC" w14:paraId="68972BF4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C9C41D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753B1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92.445,42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67CD4C" w14:textId="1524598E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3BB97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46264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349.807,50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373FC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352.822,29</w:t>
            </w:r>
          </w:p>
        </w:tc>
      </w:tr>
      <w:tr w:rsidR="005177FC" w14:paraId="16A11120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2E59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C5B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76.461,77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4FA8" w14:textId="5FD04642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.900,00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A6C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72A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349.807,50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A5E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352.822,29</w:t>
            </w:r>
          </w:p>
        </w:tc>
      </w:tr>
      <w:tr w:rsidR="005177FC" w:rsidRPr="005177FC" w14:paraId="752CFD5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A9B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374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45.560,88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A2C9" w14:textId="436A8D13" w:rsidR="005177FC" w:rsidRP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E1A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305.500,00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5A1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307.457,50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041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309.422,29</w:t>
            </w:r>
          </w:p>
        </w:tc>
      </w:tr>
      <w:tr w:rsidR="005177FC" w:rsidRPr="005177FC" w14:paraId="17776A6F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F026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B58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30.900,89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C537" w14:textId="1CB2B0F5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sz w:val="20"/>
                <w:szCs w:val="20"/>
              </w:rPr>
              <w:t>5</w:t>
            </w:r>
            <w:r w:rsidRPr="005177FC">
              <w:rPr>
                <w:rFonts w:ascii="Arial" w:hAnsi="Arial" w:cs="Arial"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sz w:val="20"/>
                <w:szCs w:val="20"/>
              </w:rPr>
              <w:t>95</w:t>
            </w: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C76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1D3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42.350,00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E72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43.400,00</w:t>
            </w:r>
          </w:p>
        </w:tc>
      </w:tr>
      <w:tr w:rsidR="005177FC" w14:paraId="1C2B09A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DEB1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193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15.983,65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63C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D5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3DE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BF1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0D52D760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208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4CA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15.983,65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A7A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0E6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89F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AEE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76ED2B30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3B77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29E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95C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CDB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78F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7E1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074C7AF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C88D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 Rezultat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834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A55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3.248,98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02F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4A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FE1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4A5A3358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641E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1.2. Prihodi od suosnivača JVP - Vladislavci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EC060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B007B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24FB2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C3004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EF3F3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5177FC" w14:paraId="64A5EBF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A08C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CBB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3.053,45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EF7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9DB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486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344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5177FC" w:rsidRPr="005177FC" w14:paraId="6094AC6C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6091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66B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D56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3.080,00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60A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FCD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BE9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</w:tr>
      <w:tr w:rsidR="005177FC" w:rsidRPr="005177FC" w14:paraId="77FEDAA2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8CB7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2E6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3.053,45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40A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1A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680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83C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5177FC" w14:paraId="0952FFB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7B88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BB7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928,55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954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DF9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884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EEE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71A88B9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B80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558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928,55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1C3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B4C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37D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357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5A27BDFB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013358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1.3. Prihodi od suosnivača JVP - Vuka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1B960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585DD1" w14:textId="2BA22CFA" w:rsid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1406B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53B5E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6946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5177FC" w14:paraId="1787F92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377A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0F6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3.981,68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975D" w14:textId="36431E13" w:rsid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9B2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301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04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5177FC" w:rsidRPr="005177FC" w14:paraId="7EE331E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4D4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EE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3.052,68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8868" w14:textId="3A34C4CB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</w:t>
            </w:r>
            <w:r w:rsidR="003F2C42">
              <w:rPr>
                <w:rFonts w:ascii="Arial" w:hAnsi="Arial" w:cs="Arial"/>
                <w:sz w:val="20"/>
                <w:szCs w:val="20"/>
              </w:rPr>
              <w:t>10</w:t>
            </w: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F24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126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7CC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</w:tr>
      <w:tr w:rsidR="005177FC" w:rsidRPr="005177FC" w14:paraId="01E38884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CFDE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61F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5DB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B0D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D18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62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5177FC" w14:paraId="59A116F0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F8F258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3.3. VLASTITI PRIHODI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75CAE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3.888,62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F5BB7C" w14:textId="74D31EE6" w:rsid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5177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266D6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3FA48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973A3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3.800,00</w:t>
            </w:r>
          </w:p>
        </w:tc>
      </w:tr>
      <w:tr w:rsidR="005177FC" w14:paraId="17A7F0C1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CF8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304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552,26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299C" w14:textId="07BEC232" w:rsid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F02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07F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96F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</w:tr>
      <w:tr w:rsidR="005177FC" w:rsidRPr="005177FC" w14:paraId="61D6A04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E03A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C8D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552,26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D92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CE9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4DE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0D0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:rsidRPr="005177FC" w14:paraId="77FDA7A4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C2BA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018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AAF4" w14:textId="32F6CF5A" w:rsidR="005177FC" w:rsidRP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B2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15E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372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5177FC" w14:paraId="0E46BB4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26CD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79C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3.336,36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02C3" w14:textId="727CE6D1" w:rsid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</w:t>
            </w:r>
            <w:r w:rsidR="005177FC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E8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21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297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3.799,00</w:t>
            </w:r>
          </w:p>
        </w:tc>
      </w:tr>
      <w:tr w:rsidR="005177FC" w:rsidRPr="005177FC" w14:paraId="079E87D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A4B9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2D9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3.336,36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DC8" w14:textId="31DD83DC" w:rsidR="005177FC" w:rsidRP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599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0DC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3.599,00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A07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3.699,00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34A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3.799,00</w:t>
            </w:r>
          </w:p>
        </w:tc>
      </w:tr>
      <w:tr w:rsidR="005177FC" w14:paraId="2473B4CE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CE4FB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Tekuće i kapitalne pomoći unutar općeg proračuna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D629E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2.249,16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1262C0" w14:textId="2B6725E0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F2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6345E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7C925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06158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3.240,00</w:t>
            </w:r>
          </w:p>
        </w:tc>
      </w:tr>
      <w:tr w:rsidR="005177FC" w14:paraId="7F8D43C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0C7F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067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1.079,10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7154" w14:textId="2164D8F4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3F2C42"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72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9B3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196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3.240,00</w:t>
            </w:r>
          </w:p>
        </w:tc>
      </w:tr>
      <w:tr w:rsidR="005177FC" w:rsidRPr="005177FC" w14:paraId="7399C136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1A35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594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62C5" w14:textId="555DE22E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2.</w:t>
            </w:r>
            <w:r w:rsidR="003F2C42">
              <w:rPr>
                <w:rFonts w:ascii="Arial" w:hAnsi="Arial" w:cs="Arial"/>
                <w:sz w:val="20"/>
                <w:szCs w:val="20"/>
              </w:rPr>
              <w:t>364</w:t>
            </w:r>
            <w:r w:rsidRPr="005177FC">
              <w:rPr>
                <w:rFonts w:ascii="Arial" w:hAnsi="Arial" w:cs="Arial"/>
                <w:sz w:val="20"/>
                <w:szCs w:val="20"/>
              </w:rPr>
              <w:t>,31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C39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F95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411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</w:tr>
      <w:tr w:rsidR="005177FC" w:rsidRPr="005177FC" w14:paraId="4101401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1FFD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11F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1.079,10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F219" w14:textId="59C4C949" w:rsidR="005177FC" w:rsidRPr="005177FC" w:rsidRDefault="003F2C42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  <w:r w:rsidR="005177FC" w:rsidRPr="005177F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851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C5A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930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5177FC" w14:paraId="6C3680B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B12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0DC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1.170,06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55C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58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30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6B91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0E24F9C4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49DE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806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1.170,06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09C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B53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EE7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567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759F7421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8D73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5E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641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30.598,79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F19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DD2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78E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1C7A5B2E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03C3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 Rezultat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075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451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30.598,79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560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4B5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5D7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50DF06C1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08B43A" w14:textId="0F815232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5.3. POMOĆI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F6D79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219.355,59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BA3A8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242.662,08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6482E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FE5EF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8DE03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</w:tr>
      <w:tr w:rsidR="005177FC" w14:paraId="09D882AC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E81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7DB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219.355,59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E0BB" w14:textId="47AD379D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57074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70741">
              <w:rPr>
                <w:rFonts w:ascii="Arial" w:hAnsi="Arial" w:cs="Arial"/>
                <w:b/>
                <w:bCs/>
                <w:sz w:val="20"/>
                <w:szCs w:val="20"/>
              </w:rPr>
              <w:t>026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1F5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B89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B2A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</w:tr>
      <w:tr w:rsidR="005177FC" w:rsidRPr="005177FC" w14:paraId="5A29D96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C292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CD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212.196,27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1FB3" w14:textId="11685938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230.</w:t>
            </w:r>
            <w:r w:rsidR="003F2C42">
              <w:rPr>
                <w:rFonts w:ascii="Arial" w:hAnsi="Arial" w:cs="Arial"/>
                <w:sz w:val="20"/>
                <w:szCs w:val="20"/>
              </w:rPr>
              <w:t>65</w:t>
            </w:r>
            <w:r w:rsidR="00570741">
              <w:rPr>
                <w:rFonts w:ascii="Arial" w:hAnsi="Arial" w:cs="Arial"/>
                <w:sz w:val="20"/>
                <w:szCs w:val="20"/>
              </w:rPr>
              <w:t>0</w:t>
            </w:r>
            <w:r w:rsidRPr="005177F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6F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230.650,00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417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230.650,00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E8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230.650,00</w:t>
            </w:r>
          </w:p>
        </w:tc>
      </w:tr>
      <w:tr w:rsidR="005177FC" w:rsidRPr="005177FC" w14:paraId="14B75CA8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9298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8CB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6.828,91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047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68E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68C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469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5177FC" w:rsidRPr="005177FC" w14:paraId="03F08C8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580B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94F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330,41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4C1A" w14:textId="48F3BAFB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</w:t>
            </w:r>
            <w:r w:rsidR="003F2C42">
              <w:rPr>
                <w:rFonts w:ascii="Arial" w:hAnsi="Arial" w:cs="Arial"/>
                <w:sz w:val="20"/>
                <w:szCs w:val="20"/>
              </w:rPr>
              <w:t>7</w:t>
            </w:r>
            <w:r w:rsidR="00570741">
              <w:rPr>
                <w:rFonts w:ascii="Arial" w:hAnsi="Arial" w:cs="Arial"/>
                <w:sz w:val="20"/>
                <w:szCs w:val="20"/>
              </w:rPr>
              <w:t>6</w:t>
            </w:r>
            <w:r w:rsidRPr="005177F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895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376,00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A1C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376,00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40B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376,00</w:t>
            </w:r>
          </w:p>
        </w:tc>
      </w:tr>
      <w:tr w:rsidR="005177FC" w14:paraId="720D7281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38A2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7DC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672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6.636,08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1D6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2CD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434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6478E6B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AC30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92 Rezultat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618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C1A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6.636,08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B5B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1D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EA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52B4F679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383A4D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5.5. Pomoći proračunskim korisnicima iz proračuna koji im nije nadležan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214F7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32.349,63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F1C07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70D52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EA0D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5D709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5177FC" w14:paraId="222E3C06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17C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A72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28.349,63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02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961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504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E44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2F25359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84AD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A2A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28.349,63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A48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2BD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F9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A4CE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774CCE47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025A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136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648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6549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7DF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E59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5177FC" w:rsidRPr="005177FC" w14:paraId="50C0682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7B7E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7AC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BEC6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8387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A47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3B9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5177FC" w14:paraId="613E85E4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6822F2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6.2. Donacije JVP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1146A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D12D7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CB306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0D0CBA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AE1A9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5177FC" w14:paraId="4D39638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6BD9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2C8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7EC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3BF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118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34B2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0C51E725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5490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F15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F543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EBB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FC21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707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5B26343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1C5B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A57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172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F07E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EC4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097F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5177FC" w:rsidRPr="005177FC" w14:paraId="06EF154F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DF9A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EFCF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4.048,41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C26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9F1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E4E4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D200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</w:tr>
      <w:tr w:rsidR="005177FC" w14:paraId="1E82D5DB" w14:textId="77777777" w:rsidTr="009B0D49">
        <w:trPr>
          <w:gridAfter w:val="1"/>
          <w:wAfter w:w="799" w:type="dxa"/>
          <w:trHeight w:val="283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1119DE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9.3. Višak prihoda PK JVP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1A2CE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391F7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78DCA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B55345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487A26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7FC" w14:paraId="7E39C6AD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E211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5FC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E2B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3.303,36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2707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247D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AD73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3316BD43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DA01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154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387B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3.303,36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B1E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E859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7AB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77FC" w14:paraId="5BFBFD39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73B5" w14:textId="77777777" w:rsidR="005177FC" w:rsidRDefault="005177FC" w:rsidP="00C35E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9B5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B92B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3.752,86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6890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09CC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9468" w14:textId="77777777" w:rsid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77FC" w:rsidRPr="005177FC" w14:paraId="283AEBA6" w14:textId="77777777" w:rsidTr="005177FC">
        <w:trPr>
          <w:gridAfter w:val="1"/>
          <w:wAfter w:w="799" w:type="dxa"/>
          <w:trHeight w:val="255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4A52" w14:textId="77777777" w:rsidR="005177FC" w:rsidRPr="005177FC" w:rsidRDefault="005177FC" w:rsidP="00C35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2B1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0292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3.752,86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867D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2F05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A2D8" w14:textId="77777777" w:rsidR="005177FC" w:rsidRPr="005177FC" w:rsidRDefault="005177FC" w:rsidP="00C35E9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7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173526A" w14:textId="77777777" w:rsidR="00542C58" w:rsidRDefault="00542C58" w:rsidP="008E5F2B">
      <w:pPr>
        <w:spacing w:line="276" w:lineRule="auto"/>
        <w:jc w:val="both"/>
        <w:rPr>
          <w:rFonts w:cs="Times New Roman"/>
          <w:b/>
          <w:bCs/>
        </w:rPr>
      </w:pPr>
    </w:p>
    <w:p w14:paraId="6D28FA45" w14:textId="77777777" w:rsidR="00145C91" w:rsidRDefault="00145C91" w:rsidP="008E5F2B">
      <w:pPr>
        <w:spacing w:line="276" w:lineRule="auto"/>
        <w:jc w:val="both"/>
        <w:rPr>
          <w:rFonts w:cs="Times New Roman"/>
          <w:b/>
          <w:bCs/>
        </w:rPr>
      </w:pPr>
    </w:p>
    <w:p w14:paraId="2ED79F96" w14:textId="4ABDD539" w:rsidR="00A43108" w:rsidRDefault="00A43108" w:rsidP="00A43108">
      <w:pPr>
        <w:spacing w:line="276" w:lineRule="auto"/>
        <w:jc w:val="right"/>
      </w:pPr>
      <w:r>
        <w:tab/>
      </w:r>
      <w:r>
        <w:tab/>
      </w:r>
    </w:p>
    <w:p w14:paraId="21121888" w14:textId="77777777" w:rsidR="00A43108" w:rsidRDefault="00A43108" w:rsidP="00A43108">
      <w:pPr>
        <w:widowControl/>
        <w:suppressAutoHyphens w:val="0"/>
      </w:pPr>
    </w:p>
    <w:p w14:paraId="2CA84263" w14:textId="77777777" w:rsidR="00152EEF" w:rsidRDefault="00152EEF" w:rsidP="00145C91">
      <w:pPr>
        <w:jc w:val="both"/>
        <w:sectPr w:rsidR="00152EEF" w:rsidSect="00145C91">
          <w:headerReference w:type="first" r:id="rId15"/>
          <w:footerReference w:type="first" r:id="rId16"/>
          <w:pgSz w:w="16838" w:h="11906" w:orient="landscape"/>
          <w:pgMar w:top="1134" w:right="1134" w:bottom="1134" w:left="1276" w:header="720" w:footer="685" w:gutter="0"/>
          <w:cols w:space="720"/>
          <w:titlePg/>
          <w:docGrid w:linePitch="360"/>
        </w:sectPr>
      </w:pPr>
    </w:p>
    <w:p w14:paraId="6F0AE56C" w14:textId="6D4CF565" w:rsidR="001745ED" w:rsidRPr="00152EEF" w:rsidRDefault="00152EEF" w:rsidP="00AA406F">
      <w:pPr>
        <w:spacing w:line="276" w:lineRule="auto"/>
        <w:jc w:val="both"/>
        <w:rPr>
          <w:b/>
          <w:bCs/>
        </w:rPr>
      </w:pPr>
      <w:r w:rsidRPr="00152EEF">
        <w:rPr>
          <w:b/>
          <w:bCs/>
        </w:rPr>
        <w:lastRenderedPageBreak/>
        <w:t>Obrazloženje prijedloga Financijskog plana JVP Čepin za 202</w:t>
      </w:r>
      <w:r w:rsidR="00AA406F">
        <w:rPr>
          <w:b/>
          <w:bCs/>
        </w:rPr>
        <w:t>5</w:t>
      </w:r>
      <w:r w:rsidRPr="00152EEF">
        <w:rPr>
          <w:b/>
          <w:bCs/>
        </w:rPr>
        <w:t>. godinu</w:t>
      </w:r>
    </w:p>
    <w:p w14:paraId="0B94424A" w14:textId="77777777" w:rsidR="00152EEF" w:rsidRDefault="00152EEF" w:rsidP="00AA406F">
      <w:pPr>
        <w:spacing w:line="276" w:lineRule="auto"/>
        <w:jc w:val="both"/>
      </w:pPr>
    </w:p>
    <w:p w14:paraId="42982938" w14:textId="1A4A358C" w:rsidR="00152EEF" w:rsidRDefault="00152EEF" w:rsidP="00AA406F">
      <w:pPr>
        <w:spacing w:line="276" w:lineRule="auto"/>
        <w:jc w:val="both"/>
      </w:pPr>
      <w:r>
        <w:t xml:space="preserve">JVP Čepin planira financiranje iz </w:t>
      </w:r>
      <w:r w:rsidR="00AA406F">
        <w:t>sljedećih</w:t>
      </w:r>
      <w:r>
        <w:t xml:space="preserve"> izvora: prihodi iz proračuna Općine Čepin, prihodi od suosnivača – Općina Vladislavci, prihodi od suosnivača – Općina Vuka, vlastiti prihodi, pomoći (</w:t>
      </w:r>
      <w:r w:rsidR="00AA406F">
        <w:t xml:space="preserve">teliće pomoći iz državnog proračuna, </w:t>
      </w:r>
      <w:r>
        <w:t>decentralizirana funkcija vatrogastva i sredstva izravnanja), pomoći proračunskim korisnicima iz proračuna koji im nije nadležan te donacije.</w:t>
      </w:r>
    </w:p>
    <w:p w14:paraId="28828BEB" w14:textId="77777777" w:rsidR="00FB02DF" w:rsidRDefault="00FB02DF" w:rsidP="00AA406F">
      <w:pPr>
        <w:spacing w:line="276" w:lineRule="auto"/>
        <w:jc w:val="both"/>
      </w:pPr>
    </w:p>
    <w:p w14:paraId="7CD416F9" w14:textId="0854363B" w:rsidR="00FB02DF" w:rsidRDefault="00FB02DF" w:rsidP="00AA406F">
      <w:pPr>
        <w:spacing w:line="276" w:lineRule="auto"/>
        <w:jc w:val="both"/>
      </w:pPr>
      <w:r>
        <w:t xml:space="preserve">Izvor 1.1. Opći prihodi i primici – sredstva proračuna Općine Čepin u ukupnom iznosu od </w:t>
      </w:r>
      <w:r w:rsidR="00AA406F">
        <w:t>346</w:t>
      </w:r>
      <w:r>
        <w:t>.</w:t>
      </w:r>
      <w:r w:rsidR="00AA406F">
        <w:t>6</w:t>
      </w:r>
      <w:r>
        <w:t xml:space="preserve">00 eura se planira za rashode plaća s pripadajućim doprinosima, </w:t>
      </w:r>
      <w:r w:rsidR="008F3D46">
        <w:t xml:space="preserve">ostali rashodi za zaposlene (božićnica, regres, dar za djecu, </w:t>
      </w:r>
      <w:proofErr w:type="spellStart"/>
      <w:r w:rsidR="008F3D46">
        <w:t>uskrsnica</w:t>
      </w:r>
      <w:proofErr w:type="spellEnd"/>
      <w:r w:rsidR="008F3D46">
        <w:t>), naknada prijevoza, stručno usavršavanje zaposlenika, službena putovanja, uredski materijal i ostali materijalni rashodi, materijal i sirovine, energija, materijal i dijelovi za tekuće i investicijsko održavanje, sitan inventar, usluge telefona, pošte i prijevoza, usluge tekućeg i investicijskog održavanja, zdravstvene usluge, intelektualne i osobne usluge (zaštita na radu, knjigovodstvene usluge), računalne usluge, usluge promidžbe i informiranja, premije osiguranja zaposlenika, reprezentacija.</w:t>
      </w:r>
    </w:p>
    <w:p w14:paraId="37DE8258" w14:textId="77777777" w:rsidR="008F3D46" w:rsidRDefault="008F3D46" w:rsidP="00AA406F">
      <w:pPr>
        <w:spacing w:line="276" w:lineRule="auto"/>
        <w:jc w:val="both"/>
      </w:pPr>
    </w:p>
    <w:p w14:paraId="717A3B51" w14:textId="1A5CD19B" w:rsidR="008F3D46" w:rsidRDefault="008F3D46" w:rsidP="00AA406F">
      <w:pPr>
        <w:spacing w:line="276" w:lineRule="auto"/>
        <w:jc w:val="both"/>
      </w:pPr>
      <w:r>
        <w:t>Izvor 1.</w:t>
      </w:r>
      <w:r w:rsidR="00024568">
        <w:t>2</w:t>
      </w:r>
      <w:r>
        <w:t xml:space="preserve">. Prihodi od suosnivača - Općina Vladislavci </w:t>
      </w:r>
      <w:r w:rsidR="00024568">
        <w:t>–</w:t>
      </w:r>
      <w:r>
        <w:t xml:space="preserve"> </w:t>
      </w:r>
      <w:r w:rsidR="00024568">
        <w:t xml:space="preserve">sredstva u ukupnom iznosu od </w:t>
      </w:r>
      <w:r w:rsidR="00AA406F">
        <w:t>4</w:t>
      </w:r>
      <w:r w:rsidR="00024568">
        <w:t>.</w:t>
      </w:r>
      <w:r w:rsidR="00AA406F">
        <w:t>00</w:t>
      </w:r>
      <w:r w:rsidR="00024568">
        <w:t>0 eura planiraju se potrošiti na rashode za zaposlene</w:t>
      </w:r>
      <w:r w:rsidR="00AA406F">
        <w:t xml:space="preserve"> </w:t>
      </w:r>
      <w:r w:rsidR="00024568">
        <w:t>te naknadu za prijevoz.</w:t>
      </w:r>
    </w:p>
    <w:p w14:paraId="424D6890" w14:textId="77777777" w:rsidR="00024568" w:rsidRDefault="00024568" w:rsidP="00AA406F">
      <w:pPr>
        <w:spacing w:line="276" w:lineRule="auto"/>
        <w:jc w:val="both"/>
      </w:pPr>
    </w:p>
    <w:p w14:paraId="6AE9C48C" w14:textId="74D218F5" w:rsidR="00024568" w:rsidRPr="00362F9D" w:rsidRDefault="00024568" w:rsidP="00AA406F">
      <w:pPr>
        <w:spacing w:line="276" w:lineRule="auto"/>
        <w:jc w:val="both"/>
      </w:pPr>
      <w:r>
        <w:t xml:space="preserve">Izvor 1.3. Prihodi od suosnivača - Općina Vuka – sredstva u ukupnom iznosu od </w:t>
      </w:r>
      <w:r w:rsidR="00AA406F">
        <w:t>4</w:t>
      </w:r>
      <w:r>
        <w:t>.</w:t>
      </w:r>
      <w:r w:rsidR="00AA406F">
        <w:t>00</w:t>
      </w:r>
      <w:r>
        <w:t>0 eura planiraju se potrošiti na rashode za zaposlene te naknadu za prijevoz.</w:t>
      </w:r>
    </w:p>
    <w:p w14:paraId="0BDAFB5D" w14:textId="77777777" w:rsidR="00024568" w:rsidRDefault="00024568" w:rsidP="00AA406F">
      <w:pPr>
        <w:spacing w:line="276" w:lineRule="auto"/>
        <w:jc w:val="both"/>
      </w:pPr>
    </w:p>
    <w:p w14:paraId="3E9E1E87" w14:textId="009B1C66" w:rsidR="00024568" w:rsidRDefault="00024568" w:rsidP="00AA406F">
      <w:pPr>
        <w:spacing w:line="276" w:lineRule="auto"/>
        <w:jc w:val="both"/>
      </w:pPr>
      <w:r>
        <w:t xml:space="preserve">Izvor 3.3. Vlastiti prihod u iznosu od </w:t>
      </w:r>
      <w:r w:rsidR="00AA406F">
        <w:t>3</w:t>
      </w:r>
      <w:r>
        <w:t>.</w:t>
      </w:r>
      <w:r w:rsidR="00AA406F">
        <w:t>6</w:t>
      </w:r>
      <w:r>
        <w:t>00 eura planira se potrošiti na rashode za nabavu opreme</w:t>
      </w:r>
      <w:r w:rsidR="0007253F">
        <w:t xml:space="preserve"> te u manjoj mjeri na financijske rashode</w:t>
      </w:r>
      <w:r>
        <w:t>.</w:t>
      </w:r>
    </w:p>
    <w:p w14:paraId="27E926FE" w14:textId="77777777" w:rsidR="00024568" w:rsidRDefault="00024568" w:rsidP="00AA406F">
      <w:pPr>
        <w:spacing w:line="276" w:lineRule="auto"/>
        <w:jc w:val="both"/>
      </w:pPr>
    </w:p>
    <w:p w14:paraId="4F219C3D" w14:textId="4FFBB775" w:rsidR="0007253F" w:rsidRDefault="0007253F" w:rsidP="0007253F">
      <w:pPr>
        <w:spacing w:line="276" w:lineRule="auto"/>
        <w:jc w:val="both"/>
      </w:pPr>
      <w:r>
        <w:t xml:space="preserve">Izvor 5.1. </w:t>
      </w:r>
      <w:r w:rsidRPr="0007253F">
        <w:t>Tekuće i kapitalne pomoći unutar općeg proračuna</w:t>
      </w:r>
      <w:r>
        <w:t xml:space="preserve"> odnosi se na tekuće pomoći u ukupnom iznosu od 3.240 eura koji se planira potrošiti na rashode za zaposlene (nagrada za radne rezultate) i materijalne rashode (troškovi dnevnica), a odnose se na zaposlenike koje će ići na dislokaciju temeljem zapovijedi Glavnog vatrogasnog zapovjednika.</w:t>
      </w:r>
    </w:p>
    <w:p w14:paraId="5B470898" w14:textId="77777777" w:rsidR="0007253F" w:rsidRDefault="0007253F" w:rsidP="00AA406F">
      <w:pPr>
        <w:spacing w:line="276" w:lineRule="auto"/>
        <w:jc w:val="both"/>
      </w:pPr>
    </w:p>
    <w:p w14:paraId="195B0C5A" w14:textId="24E2F9D5" w:rsidR="00024568" w:rsidRDefault="00024568" w:rsidP="00AA406F">
      <w:pPr>
        <w:spacing w:line="276" w:lineRule="auto"/>
        <w:jc w:val="both"/>
      </w:pPr>
      <w:r>
        <w:t>Izvor 5.3. Pomoći odnosi se na tekuće pomoći za decentraliziranu funkciju vatrogastva sredstvima izravnanja i sredstvima prihoda od dodatnog udjela poraza na dohodak u ukupnom iznosu od 23</w:t>
      </w:r>
      <w:r w:rsidR="0007253F">
        <w:t>6</w:t>
      </w:r>
      <w:r>
        <w:t>.026 eura koji se planira potrošiti na rashode za zaposlene (plaće i doprinosi na plaće)</w:t>
      </w:r>
      <w:r w:rsidR="00101D83">
        <w:t>, rashode za nabavu službene, radne i zaštitne odjeće i obuće te financijske rashode.</w:t>
      </w:r>
    </w:p>
    <w:p w14:paraId="75CDE3A7" w14:textId="77777777" w:rsidR="00101D83" w:rsidRDefault="00101D83" w:rsidP="00AA406F">
      <w:pPr>
        <w:spacing w:line="276" w:lineRule="auto"/>
        <w:jc w:val="both"/>
      </w:pPr>
    </w:p>
    <w:p w14:paraId="76800405" w14:textId="690408AD" w:rsidR="00101D83" w:rsidRDefault="00101D83" w:rsidP="00AA406F">
      <w:pPr>
        <w:spacing w:line="276" w:lineRule="auto"/>
        <w:jc w:val="both"/>
      </w:pPr>
      <w:r>
        <w:t xml:space="preserve">Izvor 5.5. </w:t>
      </w:r>
      <w:r w:rsidRPr="00101D83">
        <w:t>Pomoći proračunskim korisnicima iz proračuna koji im nije nadležan</w:t>
      </w:r>
      <w:r>
        <w:t xml:space="preserve"> planiran je u iznosu od </w:t>
      </w:r>
      <w:r w:rsidR="0007253F">
        <w:t>5</w:t>
      </w:r>
      <w:r>
        <w:t>.000 eura i planira se utrošiti na nabavu opreme, a odnosi se na sredstva Osječko-baranjske županije koje ista svake godine izdvaja za pomoć javnim vatrogasnim postrojbama.</w:t>
      </w:r>
    </w:p>
    <w:p w14:paraId="52FE1648" w14:textId="77777777" w:rsidR="00101D83" w:rsidRDefault="00101D83" w:rsidP="00AA406F">
      <w:pPr>
        <w:spacing w:line="276" w:lineRule="auto"/>
        <w:jc w:val="both"/>
      </w:pPr>
    </w:p>
    <w:p w14:paraId="61EABC80" w14:textId="6CF8D522" w:rsidR="00101D83" w:rsidRDefault="00101D83" w:rsidP="00AA406F">
      <w:pPr>
        <w:spacing w:line="276" w:lineRule="auto"/>
        <w:jc w:val="both"/>
      </w:pPr>
      <w:r>
        <w:t>Izvor 6.2 Donacije planiran je u iznosu od 5.500 eura i planira se utrošiti na nabavu opreme, a odnosi se na sredstva donacija od raznih trgovačkih društava i drugih poslovnih subjekata.</w:t>
      </w:r>
    </w:p>
    <w:p w14:paraId="5046C9EF" w14:textId="77777777" w:rsidR="00101D83" w:rsidRDefault="00101D83" w:rsidP="00AA406F">
      <w:pPr>
        <w:spacing w:line="276" w:lineRule="auto"/>
        <w:jc w:val="both"/>
      </w:pPr>
    </w:p>
    <w:p w14:paraId="321304FF" w14:textId="77777777" w:rsidR="00B624D9" w:rsidRDefault="00B624D9" w:rsidP="00AA406F">
      <w:pPr>
        <w:spacing w:line="276" w:lineRule="auto"/>
        <w:jc w:val="both"/>
      </w:pPr>
    </w:p>
    <w:p w14:paraId="682D4B25" w14:textId="77777777" w:rsidR="00B624D9" w:rsidRDefault="00B624D9" w:rsidP="00AA406F">
      <w:pPr>
        <w:spacing w:line="276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1D83" w14:paraId="6BFF26BC" w14:textId="77777777" w:rsidTr="006D0920">
        <w:trPr>
          <w:trHeight w:val="624"/>
        </w:trPr>
        <w:tc>
          <w:tcPr>
            <w:tcW w:w="4814" w:type="dxa"/>
          </w:tcPr>
          <w:p w14:paraId="0DCFB0CD" w14:textId="07331451" w:rsidR="00101D83" w:rsidRDefault="00101D83" w:rsidP="00AA406F">
            <w:pPr>
              <w:spacing w:line="276" w:lineRule="auto"/>
              <w:jc w:val="both"/>
            </w:pPr>
            <w:r>
              <w:lastRenderedPageBreak/>
              <w:t>Naziv programa</w:t>
            </w:r>
            <w:r w:rsidR="006D0920">
              <w:t xml:space="preserve"> 3003 O</w:t>
            </w:r>
            <w:r w:rsidR="006D0920" w:rsidRPr="006D0920">
              <w:t>RGANIZIRANJE I PROVOĐENJE ZAŠTITE I SPAŠAVANJA</w:t>
            </w:r>
          </w:p>
        </w:tc>
        <w:tc>
          <w:tcPr>
            <w:tcW w:w="4814" w:type="dxa"/>
          </w:tcPr>
          <w:p w14:paraId="73BE70ED" w14:textId="3DB3E9AA" w:rsidR="00101D83" w:rsidRDefault="006D0920" w:rsidP="00AA406F">
            <w:pPr>
              <w:spacing w:line="276" w:lineRule="auto"/>
              <w:jc w:val="both"/>
            </w:pPr>
            <w:r w:rsidRPr="006D0920">
              <w:t>Aktivnost A3000336</w:t>
            </w:r>
            <w:r>
              <w:t xml:space="preserve"> </w:t>
            </w:r>
            <w:r w:rsidRPr="006D0920">
              <w:t>Aktivnost: Rad javne vatrogasne postrojbe</w:t>
            </w:r>
          </w:p>
        </w:tc>
      </w:tr>
      <w:tr w:rsidR="00101D83" w14:paraId="1217680F" w14:textId="77777777" w:rsidTr="00687878">
        <w:trPr>
          <w:trHeight w:val="1984"/>
        </w:trPr>
        <w:tc>
          <w:tcPr>
            <w:tcW w:w="4814" w:type="dxa"/>
          </w:tcPr>
          <w:p w14:paraId="367DF734" w14:textId="501BFFB4" w:rsidR="00101D83" w:rsidRDefault="006D0920" w:rsidP="00AA406F">
            <w:pPr>
              <w:spacing w:line="276" w:lineRule="auto"/>
            </w:pPr>
            <w:r w:rsidRPr="006D0920">
              <w:t>1. CILJEVI/ što se programom želi postići</w:t>
            </w:r>
          </w:p>
        </w:tc>
        <w:tc>
          <w:tcPr>
            <w:tcW w:w="4814" w:type="dxa"/>
          </w:tcPr>
          <w:p w14:paraId="198157F1" w14:textId="57174B69" w:rsidR="00101D83" w:rsidRDefault="00687878" w:rsidP="00AA406F">
            <w:pPr>
              <w:spacing w:line="276" w:lineRule="auto"/>
              <w:jc w:val="both"/>
            </w:pPr>
            <w:r w:rsidRPr="00687878">
              <w:t xml:space="preserve">Stvaranje materijalnih uvjeta, stručnim i organizacijskim radom unapređivati rad </w:t>
            </w:r>
            <w:r>
              <w:t>Postrojbe</w:t>
            </w:r>
            <w:r w:rsidRPr="00687878">
              <w:t>, stjecanje znanja za cjeloživotno učenje</w:t>
            </w:r>
            <w:r>
              <w:t xml:space="preserve"> i obuku zaposlenika, povećanje sigurnosti i zaštite od požara na području Osnivača, učinkovito provođenje vatrogasnih intervencija.</w:t>
            </w:r>
          </w:p>
        </w:tc>
      </w:tr>
      <w:tr w:rsidR="00101D83" w14:paraId="2C0034FE" w14:textId="77777777" w:rsidTr="00687878">
        <w:trPr>
          <w:trHeight w:val="1417"/>
        </w:trPr>
        <w:tc>
          <w:tcPr>
            <w:tcW w:w="4814" w:type="dxa"/>
          </w:tcPr>
          <w:p w14:paraId="26FFC112" w14:textId="7A8844BF" w:rsidR="00101D83" w:rsidRDefault="006D0920" w:rsidP="00AA406F">
            <w:pPr>
              <w:spacing w:line="276" w:lineRule="auto"/>
            </w:pPr>
            <w:r w:rsidRPr="006D0920">
              <w:t>2.</w:t>
            </w:r>
            <w:r w:rsidR="00E40501">
              <w:t xml:space="preserve"> </w:t>
            </w:r>
            <w:r w:rsidRPr="006D0920">
              <w:t>NAČIN OSTVARENJA CILJA / kako se nastoji realizirati program, tko je korisnik ili primatelj usluge</w:t>
            </w:r>
          </w:p>
        </w:tc>
        <w:tc>
          <w:tcPr>
            <w:tcW w:w="4814" w:type="dxa"/>
          </w:tcPr>
          <w:p w14:paraId="3C9E9D2A" w14:textId="4803BB42" w:rsidR="00101D83" w:rsidRDefault="00687878" w:rsidP="00AA406F">
            <w:pPr>
              <w:spacing w:line="276" w:lineRule="auto"/>
              <w:jc w:val="both"/>
            </w:pPr>
            <w:r>
              <w:t>Svi mještani Osnivača, ali i sve osobe koje se zateknu na području Osnivača prilikom vatrogasnih intervencija. Aktivnost provodi 14 zaposlenika Postrojbe koji su svi profesionalni vatrogasci.</w:t>
            </w:r>
          </w:p>
        </w:tc>
      </w:tr>
      <w:tr w:rsidR="00101D83" w14:paraId="30397CBF" w14:textId="77777777" w:rsidTr="00687878">
        <w:trPr>
          <w:trHeight w:val="907"/>
        </w:trPr>
        <w:tc>
          <w:tcPr>
            <w:tcW w:w="4814" w:type="dxa"/>
          </w:tcPr>
          <w:p w14:paraId="1EFDBADC" w14:textId="2E9FBA7F" w:rsidR="00101D83" w:rsidRDefault="00687878" w:rsidP="00AA406F">
            <w:pPr>
              <w:spacing w:line="276" w:lineRule="auto"/>
            </w:pPr>
            <w:r w:rsidRPr="00687878">
              <w:t>3. ZAKONSKE I DRUGE PODLOGE NA KOJIMA SE ZASNIVA PROGRAM</w:t>
            </w:r>
          </w:p>
        </w:tc>
        <w:tc>
          <w:tcPr>
            <w:tcW w:w="4814" w:type="dxa"/>
          </w:tcPr>
          <w:p w14:paraId="06F64173" w14:textId="506EA99E" w:rsidR="00101D83" w:rsidRDefault="00687878" w:rsidP="00AA406F">
            <w:pPr>
              <w:spacing w:line="276" w:lineRule="auto"/>
              <w:jc w:val="both"/>
            </w:pPr>
            <w:r>
              <w:t>Zakon o vatrogastvu, Zakon o sustavu civilne zaštite, Zakon o zaštiti od požara, Zakon o ustanovama te drugi podzakonski propisi.</w:t>
            </w:r>
          </w:p>
        </w:tc>
      </w:tr>
      <w:tr w:rsidR="00101D83" w14:paraId="37BDE6E6" w14:textId="77777777" w:rsidTr="00215B0B">
        <w:trPr>
          <w:trHeight w:val="850"/>
        </w:trPr>
        <w:tc>
          <w:tcPr>
            <w:tcW w:w="4814" w:type="dxa"/>
          </w:tcPr>
          <w:p w14:paraId="2873660F" w14:textId="78BE94CE" w:rsidR="00101D83" w:rsidRDefault="00687878" w:rsidP="00AA406F">
            <w:pPr>
              <w:spacing w:line="276" w:lineRule="auto"/>
            </w:pPr>
            <w:r w:rsidRPr="00687878">
              <w:t>4. POKAZATELJI REZULTATA NA KOJIMA SE ZASNIVAJU IZRAČUNI I OCJENE POTREBNIH SREDSTAVA</w:t>
            </w:r>
          </w:p>
        </w:tc>
        <w:tc>
          <w:tcPr>
            <w:tcW w:w="4814" w:type="dxa"/>
          </w:tcPr>
          <w:p w14:paraId="6E1F098A" w14:textId="358AA845" w:rsidR="00101D83" w:rsidRDefault="002A68D5" w:rsidP="00AA406F">
            <w:pPr>
              <w:spacing w:line="276" w:lineRule="auto"/>
              <w:jc w:val="both"/>
            </w:pPr>
            <w:r>
              <w:t>Izvješće o radu Postrojbe u 202</w:t>
            </w:r>
            <w:r w:rsidR="00B624D9">
              <w:t>3</w:t>
            </w:r>
            <w:r>
              <w:t>. godini, financijsko izvješće Postrojbe za 202</w:t>
            </w:r>
            <w:r w:rsidR="00B624D9">
              <w:t>3</w:t>
            </w:r>
            <w:r>
              <w:t>. godinu.</w:t>
            </w:r>
          </w:p>
        </w:tc>
      </w:tr>
      <w:tr w:rsidR="00687878" w14:paraId="76E57E43" w14:textId="77777777" w:rsidTr="002A68D5">
        <w:trPr>
          <w:trHeight w:val="1984"/>
        </w:trPr>
        <w:tc>
          <w:tcPr>
            <w:tcW w:w="4814" w:type="dxa"/>
          </w:tcPr>
          <w:p w14:paraId="3DC01777" w14:textId="16DEC069" w:rsidR="00687878" w:rsidRPr="00687878" w:rsidRDefault="00687878" w:rsidP="00AA406F">
            <w:pPr>
              <w:spacing w:line="276" w:lineRule="auto"/>
            </w:pPr>
            <w:r w:rsidRPr="00687878">
              <w:t>5.</w:t>
            </w:r>
            <w:r w:rsidR="00E40501">
              <w:t xml:space="preserve"> </w:t>
            </w:r>
            <w:r w:rsidRPr="00687878">
              <w:t>RAZLOG ODSTUPANJA OD PROŠLOGODIŠNJIH PROJEKCIJA</w:t>
            </w:r>
          </w:p>
        </w:tc>
        <w:tc>
          <w:tcPr>
            <w:tcW w:w="4814" w:type="dxa"/>
          </w:tcPr>
          <w:p w14:paraId="0D50FC23" w14:textId="5AFCA62F" w:rsidR="00687878" w:rsidRDefault="002A68D5" w:rsidP="00AA406F">
            <w:pPr>
              <w:spacing w:line="276" w:lineRule="auto"/>
              <w:jc w:val="both"/>
            </w:pPr>
            <w:r>
              <w:t xml:space="preserve">Donošenje </w:t>
            </w:r>
            <w:r w:rsidRPr="002A68D5">
              <w:t>Pravilnik</w:t>
            </w:r>
            <w:r>
              <w:t>a</w:t>
            </w:r>
            <w:r w:rsidRPr="002A68D5">
              <w:t xml:space="preserve"> o klasifikaciji radnih mjesta profesionalnih vatrogasaca, mjerilima za njihovo utvrđivanje i koeficijentima složenosti poslova</w:t>
            </w:r>
            <w:r>
              <w:t xml:space="preserve"> kojima su </w:t>
            </w:r>
            <w:r w:rsidR="00B624D9">
              <w:t xml:space="preserve">mijenjana </w:t>
            </w:r>
            <w:r>
              <w:t>radn</w:t>
            </w:r>
            <w:r w:rsidR="00B624D9">
              <w:t>a</w:t>
            </w:r>
            <w:r>
              <w:t xml:space="preserve"> mjesta i minimalni koeficijenti za radna mjesta profesionalnih vatrogasaca u Republici Hrvatskoj.</w:t>
            </w:r>
          </w:p>
        </w:tc>
      </w:tr>
      <w:tr w:rsidR="00687878" w14:paraId="1F082777" w14:textId="77777777" w:rsidTr="002A68D5">
        <w:trPr>
          <w:trHeight w:val="1474"/>
        </w:trPr>
        <w:tc>
          <w:tcPr>
            <w:tcW w:w="4814" w:type="dxa"/>
          </w:tcPr>
          <w:p w14:paraId="7EF6BFAE" w14:textId="7D861926" w:rsidR="00687878" w:rsidRPr="00687878" w:rsidRDefault="00687878" w:rsidP="00AA406F">
            <w:pPr>
              <w:spacing w:line="276" w:lineRule="auto"/>
            </w:pPr>
            <w:r w:rsidRPr="00687878">
              <w:t>6. POKAZATELJI USPJEŠNOSTI:</w:t>
            </w:r>
          </w:p>
        </w:tc>
        <w:tc>
          <w:tcPr>
            <w:tcW w:w="4814" w:type="dxa"/>
          </w:tcPr>
          <w:p w14:paraId="5B246A20" w14:textId="35403246" w:rsidR="00687878" w:rsidRDefault="002A68D5" w:rsidP="00AA406F">
            <w:pPr>
              <w:spacing w:line="276" w:lineRule="auto"/>
              <w:jc w:val="both"/>
            </w:pPr>
            <w:r>
              <w:t>P</w:t>
            </w:r>
            <w:r w:rsidRPr="002A68D5">
              <w:t xml:space="preserve">rofesionalni razvoj </w:t>
            </w:r>
            <w:r>
              <w:t>zaposlenika</w:t>
            </w:r>
            <w:r w:rsidRPr="002A68D5">
              <w:t xml:space="preserve">, ulaganje u </w:t>
            </w:r>
            <w:r>
              <w:t xml:space="preserve">nabavu nove </w:t>
            </w:r>
            <w:r w:rsidRPr="002A68D5">
              <w:t>oprem</w:t>
            </w:r>
            <w:r>
              <w:t>e</w:t>
            </w:r>
            <w:r w:rsidRPr="002A68D5">
              <w:t xml:space="preserve"> </w:t>
            </w:r>
            <w:r>
              <w:t>i održavanje postojeće</w:t>
            </w:r>
            <w:r w:rsidRPr="002A68D5">
              <w:t xml:space="preserve">, stvaranje uvjeta za </w:t>
            </w:r>
            <w:r>
              <w:t>kvalitetnije provođenje vatrogasnih intervencija i podizanje razine zaštite od požara</w:t>
            </w:r>
            <w:r w:rsidRPr="002A68D5">
              <w:t>.</w:t>
            </w:r>
          </w:p>
        </w:tc>
      </w:tr>
    </w:tbl>
    <w:p w14:paraId="6A1FDCE6" w14:textId="77777777" w:rsidR="00B624D9" w:rsidRDefault="00B624D9" w:rsidP="00B624D9">
      <w:pPr>
        <w:spacing w:line="276" w:lineRule="auto"/>
        <w:jc w:val="right"/>
      </w:pPr>
    </w:p>
    <w:p w14:paraId="6FA9CD90" w14:textId="0FDB462D" w:rsidR="00B624D9" w:rsidRDefault="00B624D9" w:rsidP="00B624D9">
      <w:pPr>
        <w:spacing w:line="276" w:lineRule="auto"/>
        <w:jc w:val="right"/>
      </w:pPr>
      <w:r>
        <w:t>Predsjednik Vatrogasnog vijeća JVP Čepin</w:t>
      </w:r>
      <w:r>
        <w:tab/>
      </w:r>
    </w:p>
    <w:p w14:paraId="79029C28" w14:textId="2DF23AD1" w:rsidR="00101D83" w:rsidRPr="00362F9D" w:rsidRDefault="00B624D9" w:rsidP="00B624D9">
      <w:pPr>
        <w:spacing w:line="276" w:lineRule="auto"/>
        <w:jc w:val="right"/>
      </w:pPr>
      <w:r>
        <w:t>Zoran Horvat</w:t>
      </w:r>
      <w:r>
        <w:tab/>
      </w:r>
      <w:r>
        <w:tab/>
      </w:r>
      <w:r>
        <w:tab/>
      </w:r>
      <w:bookmarkEnd w:id="1"/>
    </w:p>
    <w:sectPr w:rsidR="00101D83" w:rsidRPr="00362F9D" w:rsidSect="00152EEF">
      <w:pgSz w:w="11906" w:h="16838"/>
      <w:pgMar w:top="1134" w:right="1134" w:bottom="1276" w:left="1134" w:header="720" w:footer="6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3B7D" w14:textId="77777777" w:rsidR="005E4D04" w:rsidRDefault="005E4D04">
      <w:r>
        <w:separator/>
      </w:r>
    </w:p>
  </w:endnote>
  <w:endnote w:type="continuationSeparator" w:id="0">
    <w:p w14:paraId="4AD29C8D" w14:textId="77777777" w:rsidR="005E4D04" w:rsidRDefault="005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8469" w14:textId="77777777" w:rsidR="008E5F2B" w:rsidRDefault="008E5F2B" w:rsidP="00D015F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5EAB958" w14:textId="77777777" w:rsidR="008E5F2B" w:rsidRDefault="008E5F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3A81" w14:textId="26436157" w:rsidR="008E5F2B" w:rsidRDefault="008E5F2B" w:rsidP="00D015F0">
    <w:pPr>
      <w:pStyle w:val="Podnoje"/>
      <w:framePr w:wrap="around" w:vAnchor="text" w:hAnchor="margin" w:xAlign="center" w:y="1"/>
      <w:rPr>
        <w:rStyle w:val="Brojstranic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597470"/>
      <w:docPartObj>
        <w:docPartGallery w:val="Page Numbers (Bottom of Page)"/>
        <w:docPartUnique/>
      </w:docPartObj>
    </w:sdtPr>
    <w:sdtContent>
      <w:p w14:paraId="47DED18F" w14:textId="77777777" w:rsidR="008E5F2B" w:rsidRPr="00875AFA" w:rsidRDefault="008E5F2B" w:rsidP="00875AF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476235"/>
      <w:docPartObj>
        <w:docPartGallery w:val="Page Numbers (Bottom of Page)"/>
        <w:docPartUnique/>
      </w:docPartObj>
    </w:sdtPr>
    <w:sdtContent>
      <w:p w14:paraId="51AA6FA0" w14:textId="7CAC1AD2" w:rsidR="0006500A" w:rsidRPr="0006500A" w:rsidRDefault="0006500A" w:rsidP="0006500A">
        <w:pPr>
          <w:pStyle w:val="Podnoje"/>
          <w:jc w:val="center"/>
        </w:pPr>
        <w:r w:rsidRPr="0006500A">
          <w:fldChar w:fldCharType="begin"/>
        </w:r>
        <w:r w:rsidRPr="0006500A">
          <w:instrText>PAGE   \* MERGEFORMAT</w:instrText>
        </w:r>
        <w:r w:rsidRPr="0006500A">
          <w:fldChar w:fldCharType="separate"/>
        </w:r>
        <w:r w:rsidRPr="0006500A">
          <w:t>2</w:t>
        </w:r>
        <w:r w:rsidRPr="0006500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3DD2" w14:textId="77777777" w:rsidR="005E4D04" w:rsidRDefault="005E4D04">
      <w:r>
        <w:separator/>
      </w:r>
    </w:p>
  </w:footnote>
  <w:footnote w:type="continuationSeparator" w:id="0">
    <w:p w14:paraId="6BAD7E18" w14:textId="77777777" w:rsidR="005E4D04" w:rsidRDefault="005E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2CDF" w14:textId="65E909A6" w:rsidR="008E5F2B" w:rsidRPr="00584FC4" w:rsidRDefault="008E5F2B" w:rsidP="00584FC4">
    <w:pPr>
      <w:spacing w:line="276" w:lineRule="auto"/>
      <w:jc w:val="both"/>
      <w:rPr>
        <w:rFonts w:ascii="Cambria" w:hAnsi="Cambria" w:cs="Calibri"/>
        <w:kern w:val="2"/>
        <w:sz w:val="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CAAC" w14:textId="77777777" w:rsidR="00E90D87" w:rsidRPr="002B6E39" w:rsidRDefault="00E90D87" w:rsidP="002B6E3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9F0"/>
    <w:multiLevelType w:val="hybridMultilevel"/>
    <w:tmpl w:val="8416C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46F"/>
    <w:multiLevelType w:val="hybridMultilevel"/>
    <w:tmpl w:val="B9580FDA"/>
    <w:lvl w:ilvl="0" w:tplc="09F08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6CB"/>
    <w:multiLevelType w:val="hybridMultilevel"/>
    <w:tmpl w:val="125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2978"/>
    <w:multiLevelType w:val="hybridMultilevel"/>
    <w:tmpl w:val="0A3033B4"/>
    <w:lvl w:ilvl="0" w:tplc="2DC41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2CD5"/>
    <w:multiLevelType w:val="hybridMultilevel"/>
    <w:tmpl w:val="E79624C2"/>
    <w:lvl w:ilvl="0" w:tplc="10DE7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2A1D37"/>
    <w:multiLevelType w:val="hybridMultilevel"/>
    <w:tmpl w:val="2B70C170"/>
    <w:lvl w:ilvl="0" w:tplc="B6D0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80109"/>
    <w:multiLevelType w:val="hybridMultilevel"/>
    <w:tmpl w:val="2FB6DCDA"/>
    <w:lvl w:ilvl="0" w:tplc="BED8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F972A6"/>
    <w:multiLevelType w:val="hybridMultilevel"/>
    <w:tmpl w:val="7D9420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EE7FC4"/>
    <w:multiLevelType w:val="hybridMultilevel"/>
    <w:tmpl w:val="A21E032A"/>
    <w:lvl w:ilvl="0" w:tplc="74D6990A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747A78"/>
    <w:multiLevelType w:val="hybridMultilevel"/>
    <w:tmpl w:val="A8845C72"/>
    <w:lvl w:ilvl="0" w:tplc="3B546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C7C2C"/>
    <w:multiLevelType w:val="hybridMultilevel"/>
    <w:tmpl w:val="B950A326"/>
    <w:lvl w:ilvl="0" w:tplc="AEA0D2F6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1C3202"/>
    <w:multiLevelType w:val="hybridMultilevel"/>
    <w:tmpl w:val="4202CC8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C2020D"/>
    <w:multiLevelType w:val="hybridMultilevel"/>
    <w:tmpl w:val="F08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3B43"/>
    <w:multiLevelType w:val="hybridMultilevel"/>
    <w:tmpl w:val="A2B81468"/>
    <w:lvl w:ilvl="0" w:tplc="9474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1947"/>
    <w:multiLevelType w:val="hybridMultilevel"/>
    <w:tmpl w:val="D86C29C2"/>
    <w:lvl w:ilvl="0" w:tplc="7A4C47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D073C"/>
    <w:multiLevelType w:val="hybridMultilevel"/>
    <w:tmpl w:val="F23CA50A"/>
    <w:lvl w:ilvl="0" w:tplc="5A8C07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2BD2"/>
    <w:multiLevelType w:val="hybridMultilevel"/>
    <w:tmpl w:val="45702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74FC"/>
    <w:multiLevelType w:val="multilevel"/>
    <w:tmpl w:val="4606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C0030D"/>
    <w:multiLevelType w:val="hybridMultilevel"/>
    <w:tmpl w:val="14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148E6"/>
    <w:multiLevelType w:val="hybridMultilevel"/>
    <w:tmpl w:val="6EF899F8"/>
    <w:lvl w:ilvl="0" w:tplc="0636B2E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BD02E87"/>
    <w:multiLevelType w:val="hybridMultilevel"/>
    <w:tmpl w:val="6F42C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4253">
    <w:abstractNumId w:val="6"/>
  </w:num>
  <w:num w:numId="2" w16cid:durableId="173692634">
    <w:abstractNumId w:val="18"/>
  </w:num>
  <w:num w:numId="3" w16cid:durableId="2051680979">
    <w:abstractNumId w:val="5"/>
  </w:num>
  <w:num w:numId="4" w16cid:durableId="1236015663">
    <w:abstractNumId w:val="7"/>
  </w:num>
  <w:num w:numId="5" w16cid:durableId="1707221126">
    <w:abstractNumId w:val="11"/>
  </w:num>
  <w:num w:numId="6" w16cid:durableId="483817280">
    <w:abstractNumId w:val="2"/>
  </w:num>
  <w:num w:numId="7" w16cid:durableId="1099180735">
    <w:abstractNumId w:val="17"/>
  </w:num>
  <w:num w:numId="8" w16cid:durableId="1639190323">
    <w:abstractNumId w:val="14"/>
  </w:num>
  <w:num w:numId="9" w16cid:durableId="50162373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497980">
    <w:abstractNumId w:val="8"/>
  </w:num>
  <w:num w:numId="11" w16cid:durableId="1272278579">
    <w:abstractNumId w:val="13"/>
  </w:num>
  <w:num w:numId="12" w16cid:durableId="813907146">
    <w:abstractNumId w:val="12"/>
  </w:num>
  <w:num w:numId="13" w16cid:durableId="1055422699">
    <w:abstractNumId w:val="20"/>
  </w:num>
  <w:num w:numId="14" w16cid:durableId="567303800">
    <w:abstractNumId w:val="16"/>
  </w:num>
  <w:num w:numId="15" w16cid:durableId="613637172">
    <w:abstractNumId w:val="19"/>
  </w:num>
  <w:num w:numId="16" w16cid:durableId="903680885">
    <w:abstractNumId w:val="19"/>
  </w:num>
  <w:num w:numId="17" w16cid:durableId="558784612">
    <w:abstractNumId w:val="15"/>
  </w:num>
  <w:num w:numId="18" w16cid:durableId="789714049">
    <w:abstractNumId w:val="10"/>
  </w:num>
  <w:num w:numId="19" w16cid:durableId="1224608081">
    <w:abstractNumId w:val="4"/>
  </w:num>
  <w:num w:numId="20" w16cid:durableId="854346550">
    <w:abstractNumId w:val="0"/>
  </w:num>
  <w:num w:numId="21" w16cid:durableId="1818915614">
    <w:abstractNumId w:val="1"/>
  </w:num>
  <w:num w:numId="22" w16cid:durableId="1098329103">
    <w:abstractNumId w:val="3"/>
  </w:num>
  <w:num w:numId="23" w16cid:durableId="14167801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BC"/>
    <w:rsid w:val="0000395B"/>
    <w:rsid w:val="00005204"/>
    <w:rsid w:val="00011641"/>
    <w:rsid w:val="000127FC"/>
    <w:rsid w:val="00013EA2"/>
    <w:rsid w:val="000161C6"/>
    <w:rsid w:val="00016BED"/>
    <w:rsid w:val="00020153"/>
    <w:rsid w:val="00024568"/>
    <w:rsid w:val="00025CF2"/>
    <w:rsid w:val="000264FA"/>
    <w:rsid w:val="00033591"/>
    <w:rsid w:val="000373FC"/>
    <w:rsid w:val="000408DB"/>
    <w:rsid w:val="00040C1A"/>
    <w:rsid w:val="0004316C"/>
    <w:rsid w:val="00047230"/>
    <w:rsid w:val="00051CB0"/>
    <w:rsid w:val="00053520"/>
    <w:rsid w:val="00053B6C"/>
    <w:rsid w:val="000540BF"/>
    <w:rsid w:val="00056FA4"/>
    <w:rsid w:val="0006500A"/>
    <w:rsid w:val="000700AA"/>
    <w:rsid w:val="0007253F"/>
    <w:rsid w:val="00072AB1"/>
    <w:rsid w:val="0007503C"/>
    <w:rsid w:val="00082692"/>
    <w:rsid w:val="00082972"/>
    <w:rsid w:val="00083664"/>
    <w:rsid w:val="00094AA4"/>
    <w:rsid w:val="00095330"/>
    <w:rsid w:val="000A215A"/>
    <w:rsid w:val="000A2494"/>
    <w:rsid w:val="000A444D"/>
    <w:rsid w:val="000A5B37"/>
    <w:rsid w:val="000A64B1"/>
    <w:rsid w:val="000A64F9"/>
    <w:rsid w:val="000C3288"/>
    <w:rsid w:val="000C3B55"/>
    <w:rsid w:val="000C5D05"/>
    <w:rsid w:val="000C7A8A"/>
    <w:rsid w:val="000D1474"/>
    <w:rsid w:val="000D17A2"/>
    <w:rsid w:val="000D322E"/>
    <w:rsid w:val="000E04B9"/>
    <w:rsid w:val="000E1220"/>
    <w:rsid w:val="000E1357"/>
    <w:rsid w:val="000E1A98"/>
    <w:rsid w:val="000E1EDF"/>
    <w:rsid w:val="000E5F44"/>
    <w:rsid w:val="000E6A08"/>
    <w:rsid w:val="000F4013"/>
    <w:rsid w:val="000F6533"/>
    <w:rsid w:val="00100716"/>
    <w:rsid w:val="00101924"/>
    <w:rsid w:val="00101D83"/>
    <w:rsid w:val="00104BC9"/>
    <w:rsid w:val="00106A91"/>
    <w:rsid w:val="00111538"/>
    <w:rsid w:val="00120073"/>
    <w:rsid w:val="0012342C"/>
    <w:rsid w:val="0012475F"/>
    <w:rsid w:val="00124FF0"/>
    <w:rsid w:val="00131D02"/>
    <w:rsid w:val="00137F61"/>
    <w:rsid w:val="001428DC"/>
    <w:rsid w:val="001429E1"/>
    <w:rsid w:val="00145A5E"/>
    <w:rsid w:val="00145C91"/>
    <w:rsid w:val="00152EEF"/>
    <w:rsid w:val="00153EF0"/>
    <w:rsid w:val="00157392"/>
    <w:rsid w:val="0016158B"/>
    <w:rsid w:val="001615A0"/>
    <w:rsid w:val="00161A40"/>
    <w:rsid w:val="00164665"/>
    <w:rsid w:val="00165704"/>
    <w:rsid w:val="001658CC"/>
    <w:rsid w:val="00165D12"/>
    <w:rsid w:val="00167D89"/>
    <w:rsid w:val="00172C61"/>
    <w:rsid w:val="00173F29"/>
    <w:rsid w:val="001745ED"/>
    <w:rsid w:val="00177644"/>
    <w:rsid w:val="00181BC5"/>
    <w:rsid w:val="001848CF"/>
    <w:rsid w:val="001867C9"/>
    <w:rsid w:val="00187790"/>
    <w:rsid w:val="0019080F"/>
    <w:rsid w:val="0019123C"/>
    <w:rsid w:val="0019128F"/>
    <w:rsid w:val="00191B37"/>
    <w:rsid w:val="0019691C"/>
    <w:rsid w:val="0019741B"/>
    <w:rsid w:val="001A27F5"/>
    <w:rsid w:val="001A2C03"/>
    <w:rsid w:val="001A375F"/>
    <w:rsid w:val="001B2DE7"/>
    <w:rsid w:val="001B5290"/>
    <w:rsid w:val="001B57FA"/>
    <w:rsid w:val="001C3479"/>
    <w:rsid w:val="001C58C5"/>
    <w:rsid w:val="001C6D62"/>
    <w:rsid w:val="001C6F6D"/>
    <w:rsid w:val="001C7B4D"/>
    <w:rsid w:val="001D022C"/>
    <w:rsid w:val="001D153E"/>
    <w:rsid w:val="001D1E9B"/>
    <w:rsid w:val="001D2B76"/>
    <w:rsid w:val="001D64A8"/>
    <w:rsid w:val="001D655A"/>
    <w:rsid w:val="001D754C"/>
    <w:rsid w:val="001D798A"/>
    <w:rsid w:val="001D7EEB"/>
    <w:rsid w:val="001E0803"/>
    <w:rsid w:val="001E0DE9"/>
    <w:rsid w:val="001E2B8B"/>
    <w:rsid w:val="001E417E"/>
    <w:rsid w:val="001E7D7E"/>
    <w:rsid w:val="001F1BD3"/>
    <w:rsid w:val="001F1CBC"/>
    <w:rsid w:val="001F79B9"/>
    <w:rsid w:val="002008E2"/>
    <w:rsid w:val="00201C7D"/>
    <w:rsid w:val="002103CA"/>
    <w:rsid w:val="00211A0B"/>
    <w:rsid w:val="00215B0B"/>
    <w:rsid w:val="00216ACF"/>
    <w:rsid w:val="002228C9"/>
    <w:rsid w:val="0022540F"/>
    <w:rsid w:val="00227948"/>
    <w:rsid w:val="0022795B"/>
    <w:rsid w:val="00232DBD"/>
    <w:rsid w:val="0023310D"/>
    <w:rsid w:val="00233E8B"/>
    <w:rsid w:val="0023540C"/>
    <w:rsid w:val="00240A37"/>
    <w:rsid w:val="002421C9"/>
    <w:rsid w:val="002437FF"/>
    <w:rsid w:val="00244784"/>
    <w:rsid w:val="00244E32"/>
    <w:rsid w:val="002536D7"/>
    <w:rsid w:val="0025534E"/>
    <w:rsid w:val="00256C06"/>
    <w:rsid w:val="002615D0"/>
    <w:rsid w:val="00270D76"/>
    <w:rsid w:val="00274425"/>
    <w:rsid w:val="00280641"/>
    <w:rsid w:val="00291102"/>
    <w:rsid w:val="00292EFF"/>
    <w:rsid w:val="002935A5"/>
    <w:rsid w:val="00293B13"/>
    <w:rsid w:val="00295F89"/>
    <w:rsid w:val="00296F23"/>
    <w:rsid w:val="002A0F1F"/>
    <w:rsid w:val="002A1174"/>
    <w:rsid w:val="002A1A7C"/>
    <w:rsid w:val="002A208E"/>
    <w:rsid w:val="002A47E0"/>
    <w:rsid w:val="002A68D5"/>
    <w:rsid w:val="002B2F06"/>
    <w:rsid w:val="002B44E1"/>
    <w:rsid w:val="002B509E"/>
    <w:rsid w:val="002B611B"/>
    <w:rsid w:val="002B6C8A"/>
    <w:rsid w:val="002B6E39"/>
    <w:rsid w:val="002B77D7"/>
    <w:rsid w:val="002C2C37"/>
    <w:rsid w:val="002C4E37"/>
    <w:rsid w:val="002C5258"/>
    <w:rsid w:val="002C60A2"/>
    <w:rsid w:val="002C6912"/>
    <w:rsid w:val="002D0665"/>
    <w:rsid w:val="002D1F4A"/>
    <w:rsid w:val="002D699B"/>
    <w:rsid w:val="002D7351"/>
    <w:rsid w:val="002D7D0C"/>
    <w:rsid w:val="002E13DB"/>
    <w:rsid w:val="002E3749"/>
    <w:rsid w:val="002F167A"/>
    <w:rsid w:val="002F29C0"/>
    <w:rsid w:val="002F4E78"/>
    <w:rsid w:val="002F7F71"/>
    <w:rsid w:val="00302EA5"/>
    <w:rsid w:val="0031236E"/>
    <w:rsid w:val="00327518"/>
    <w:rsid w:val="0033042D"/>
    <w:rsid w:val="003311BC"/>
    <w:rsid w:val="003320BD"/>
    <w:rsid w:val="00337573"/>
    <w:rsid w:val="00341950"/>
    <w:rsid w:val="00354760"/>
    <w:rsid w:val="003552CB"/>
    <w:rsid w:val="00357701"/>
    <w:rsid w:val="0036106A"/>
    <w:rsid w:val="00361D80"/>
    <w:rsid w:val="00362AC2"/>
    <w:rsid w:val="00362F9D"/>
    <w:rsid w:val="0036458D"/>
    <w:rsid w:val="00367A15"/>
    <w:rsid w:val="00367A83"/>
    <w:rsid w:val="00372A68"/>
    <w:rsid w:val="00373711"/>
    <w:rsid w:val="00377BEA"/>
    <w:rsid w:val="00380A7B"/>
    <w:rsid w:val="00381DA0"/>
    <w:rsid w:val="00382731"/>
    <w:rsid w:val="00385B3F"/>
    <w:rsid w:val="003876E3"/>
    <w:rsid w:val="00387E85"/>
    <w:rsid w:val="00390690"/>
    <w:rsid w:val="0039184A"/>
    <w:rsid w:val="00392524"/>
    <w:rsid w:val="00392BF2"/>
    <w:rsid w:val="0039434F"/>
    <w:rsid w:val="003953AC"/>
    <w:rsid w:val="00396DB3"/>
    <w:rsid w:val="003A0CDB"/>
    <w:rsid w:val="003A6314"/>
    <w:rsid w:val="003A79DD"/>
    <w:rsid w:val="003B17D2"/>
    <w:rsid w:val="003B37E8"/>
    <w:rsid w:val="003C3A9D"/>
    <w:rsid w:val="003C7D7E"/>
    <w:rsid w:val="003D19B6"/>
    <w:rsid w:val="003D1DDA"/>
    <w:rsid w:val="003D3607"/>
    <w:rsid w:val="003D40F4"/>
    <w:rsid w:val="003E05F1"/>
    <w:rsid w:val="003E54F3"/>
    <w:rsid w:val="003F0229"/>
    <w:rsid w:val="003F030D"/>
    <w:rsid w:val="003F16FE"/>
    <w:rsid w:val="003F1755"/>
    <w:rsid w:val="003F2C42"/>
    <w:rsid w:val="003F6F84"/>
    <w:rsid w:val="003F7331"/>
    <w:rsid w:val="003F7B36"/>
    <w:rsid w:val="00401C27"/>
    <w:rsid w:val="00402DFC"/>
    <w:rsid w:val="00403393"/>
    <w:rsid w:val="00404B32"/>
    <w:rsid w:val="00414F15"/>
    <w:rsid w:val="00415DC9"/>
    <w:rsid w:val="00423ED0"/>
    <w:rsid w:val="004279D2"/>
    <w:rsid w:val="0043084A"/>
    <w:rsid w:val="00431E03"/>
    <w:rsid w:val="00431EB0"/>
    <w:rsid w:val="004328C2"/>
    <w:rsid w:val="00433EBD"/>
    <w:rsid w:val="00437A72"/>
    <w:rsid w:val="00437C6E"/>
    <w:rsid w:val="00440A12"/>
    <w:rsid w:val="00440F11"/>
    <w:rsid w:val="0044202C"/>
    <w:rsid w:val="00451331"/>
    <w:rsid w:val="00453830"/>
    <w:rsid w:val="00453874"/>
    <w:rsid w:val="00454576"/>
    <w:rsid w:val="00455FDD"/>
    <w:rsid w:val="0045650B"/>
    <w:rsid w:val="004609E1"/>
    <w:rsid w:val="00464069"/>
    <w:rsid w:val="00465EB1"/>
    <w:rsid w:val="004701D9"/>
    <w:rsid w:val="00472F47"/>
    <w:rsid w:val="0047473D"/>
    <w:rsid w:val="004758B6"/>
    <w:rsid w:val="004803B7"/>
    <w:rsid w:val="00482402"/>
    <w:rsid w:val="00484BEB"/>
    <w:rsid w:val="0048665B"/>
    <w:rsid w:val="00491A4F"/>
    <w:rsid w:val="004920A6"/>
    <w:rsid w:val="0049337A"/>
    <w:rsid w:val="00494004"/>
    <w:rsid w:val="004948FA"/>
    <w:rsid w:val="0049626F"/>
    <w:rsid w:val="00496678"/>
    <w:rsid w:val="004966D1"/>
    <w:rsid w:val="00497C20"/>
    <w:rsid w:val="004A1A7D"/>
    <w:rsid w:val="004A1ED0"/>
    <w:rsid w:val="004A5247"/>
    <w:rsid w:val="004B1869"/>
    <w:rsid w:val="004B1997"/>
    <w:rsid w:val="004B33F3"/>
    <w:rsid w:val="004B4D10"/>
    <w:rsid w:val="004B635F"/>
    <w:rsid w:val="004B69DD"/>
    <w:rsid w:val="004B79AD"/>
    <w:rsid w:val="004C518E"/>
    <w:rsid w:val="004C77AA"/>
    <w:rsid w:val="004C7DEE"/>
    <w:rsid w:val="004D28F6"/>
    <w:rsid w:val="004F0C7A"/>
    <w:rsid w:val="004F1E46"/>
    <w:rsid w:val="004F3B57"/>
    <w:rsid w:val="004F4D47"/>
    <w:rsid w:val="004F7310"/>
    <w:rsid w:val="00500021"/>
    <w:rsid w:val="00500F9D"/>
    <w:rsid w:val="005028F2"/>
    <w:rsid w:val="005101B7"/>
    <w:rsid w:val="00510ED8"/>
    <w:rsid w:val="00514500"/>
    <w:rsid w:val="00517222"/>
    <w:rsid w:val="00517268"/>
    <w:rsid w:val="005177FC"/>
    <w:rsid w:val="00520A02"/>
    <w:rsid w:val="0052224A"/>
    <w:rsid w:val="005236E3"/>
    <w:rsid w:val="0053215E"/>
    <w:rsid w:val="00532CA6"/>
    <w:rsid w:val="00533720"/>
    <w:rsid w:val="00533761"/>
    <w:rsid w:val="00536B74"/>
    <w:rsid w:val="00542067"/>
    <w:rsid w:val="00542C58"/>
    <w:rsid w:val="005462F7"/>
    <w:rsid w:val="00552282"/>
    <w:rsid w:val="005536D7"/>
    <w:rsid w:val="00555E3F"/>
    <w:rsid w:val="00560090"/>
    <w:rsid w:val="00562FC8"/>
    <w:rsid w:val="005633E3"/>
    <w:rsid w:val="005643E1"/>
    <w:rsid w:val="00565DAB"/>
    <w:rsid w:val="0056690F"/>
    <w:rsid w:val="005673D3"/>
    <w:rsid w:val="00567B79"/>
    <w:rsid w:val="00570741"/>
    <w:rsid w:val="00572801"/>
    <w:rsid w:val="0057482A"/>
    <w:rsid w:val="005754D0"/>
    <w:rsid w:val="00575D39"/>
    <w:rsid w:val="00581397"/>
    <w:rsid w:val="00584FC4"/>
    <w:rsid w:val="00586A75"/>
    <w:rsid w:val="00586BCA"/>
    <w:rsid w:val="0059086E"/>
    <w:rsid w:val="005924CB"/>
    <w:rsid w:val="0059620D"/>
    <w:rsid w:val="005A0161"/>
    <w:rsid w:val="005A1805"/>
    <w:rsid w:val="005A192E"/>
    <w:rsid w:val="005A433B"/>
    <w:rsid w:val="005A78A2"/>
    <w:rsid w:val="005B0AE1"/>
    <w:rsid w:val="005B2337"/>
    <w:rsid w:val="005C10FB"/>
    <w:rsid w:val="005C1AA6"/>
    <w:rsid w:val="005C1B3D"/>
    <w:rsid w:val="005C6E4F"/>
    <w:rsid w:val="005C7762"/>
    <w:rsid w:val="005D24D2"/>
    <w:rsid w:val="005D2765"/>
    <w:rsid w:val="005D4E7D"/>
    <w:rsid w:val="005E1A6D"/>
    <w:rsid w:val="005E24BE"/>
    <w:rsid w:val="005E2A6C"/>
    <w:rsid w:val="005E3D80"/>
    <w:rsid w:val="005E4D04"/>
    <w:rsid w:val="005F6777"/>
    <w:rsid w:val="00603216"/>
    <w:rsid w:val="006063D0"/>
    <w:rsid w:val="00611D4F"/>
    <w:rsid w:val="00612616"/>
    <w:rsid w:val="006161F5"/>
    <w:rsid w:val="00616577"/>
    <w:rsid w:val="006174B6"/>
    <w:rsid w:val="006174E3"/>
    <w:rsid w:val="00621255"/>
    <w:rsid w:val="006233FE"/>
    <w:rsid w:val="00626CFA"/>
    <w:rsid w:val="00630903"/>
    <w:rsid w:val="00632318"/>
    <w:rsid w:val="00632627"/>
    <w:rsid w:val="00634EE7"/>
    <w:rsid w:val="006357B2"/>
    <w:rsid w:val="00636230"/>
    <w:rsid w:val="0064081E"/>
    <w:rsid w:val="00642608"/>
    <w:rsid w:val="00642950"/>
    <w:rsid w:val="00642D42"/>
    <w:rsid w:val="00645E75"/>
    <w:rsid w:val="006460FA"/>
    <w:rsid w:val="0064746E"/>
    <w:rsid w:val="00651698"/>
    <w:rsid w:val="0065294F"/>
    <w:rsid w:val="0065338A"/>
    <w:rsid w:val="00653F58"/>
    <w:rsid w:val="00657179"/>
    <w:rsid w:val="00662893"/>
    <w:rsid w:val="00662B1F"/>
    <w:rsid w:val="00664992"/>
    <w:rsid w:val="0066583C"/>
    <w:rsid w:val="006701F1"/>
    <w:rsid w:val="006704F4"/>
    <w:rsid w:val="00672832"/>
    <w:rsid w:val="00672DEB"/>
    <w:rsid w:val="006743AD"/>
    <w:rsid w:val="00675507"/>
    <w:rsid w:val="0067791D"/>
    <w:rsid w:val="00681F47"/>
    <w:rsid w:val="0068273B"/>
    <w:rsid w:val="006853BA"/>
    <w:rsid w:val="006865D9"/>
    <w:rsid w:val="00687878"/>
    <w:rsid w:val="00690306"/>
    <w:rsid w:val="00691224"/>
    <w:rsid w:val="006A0D9C"/>
    <w:rsid w:val="006A611E"/>
    <w:rsid w:val="006B0B2E"/>
    <w:rsid w:val="006B58B6"/>
    <w:rsid w:val="006C044C"/>
    <w:rsid w:val="006C0ADD"/>
    <w:rsid w:val="006C0D43"/>
    <w:rsid w:val="006C24A1"/>
    <w:rsid w:val="006C519C"/>
    <w:rsid w:val="006C539B"/>
    <w:rsid w:val="006C7C35"/>
    <w:rsid w:val="006D0920"/>
    <w:rsid w:val="006D0CB4"/>
    <w:rsid w:val="006D288D"/>
    <w:rsid w:val="006D33FE"/>
    <w:rsid w:val="006D72B3"/>
    <w:rsid w:val="006D7466"/>
    <w:rsid w:val="006E0AB2"/>
    <w:rsid w:val="006E3FF3"/>
    <w:rsid w:val="006E55FF"/>
    <w:rsid w:val="006F2D3E"/>
    <w:rsid w:val="006F2EF1"/>
    <w:rsid w:val="0070266D"/>
    <w:rsid w:val="00702AEB"/>
    <w:rsid w:val="00703CBB"/>
    <w:rsid w:val="00703F8F"/>
    <w:rsid w:val="00711D91"/>
    <w:rsid w:val="00721F05"/>
    <w:rsid w:val="00722ABB"/>
    <w:rsid w:val="00725046"/>
    <w:rsid w:val="0073283D"/>
    <w:rsid w:val="00736FB9"/>
    <w:rsid w:val="007373E6"/>
    <w:rsid w:val="00745A9A"/>
    <w:rsid w:val="007503ED"/>
    <w:rsid w:val="00753B42"/>
    <w:rsid w:val="00753CFD"/>
    <w:rsid w:val="007554C7"/>
    <w:rsid w:val="00761D44"/>
    <w:rsid w:val="00764ADF"/>
    <w:rsid w:val="0077060E"/>
    <w:rsid w:val="00771EED"/>
    <w:rsid w:val="00784CEC"/>
    <w:rsid w:val="007903A6"/>
    <w:rsid w:val="0079436A"/>
    <w:rsid w:val="007943EB"/>
    <w:rsid w:val="00794B2A"/>
    <w:rsid w:val="007A00D9"/>
    <w:rsid w:val="007A20D3"/>
    <w:rsid w:val="007B18C7"/>
    <w:rsid w:val="007C6206"/>
    <w:rsid w:val="007C653A"/>
    <w:rsid w:val="007D3633"/>
    <w:rsid w:val="007D3D9A"/>
    <w:rsid w:val="007D42EF"/>
    <w:rsid w:val="007D460A"/>
    <w:rsid w:val="007D4B10"/>
    <w:rsid w:val="007D57C1"/>
    <w:rsid w:val="007E0603"/>
    <w:rsid w:val="007F001C"/>
    <w:rsid w:val="007F15A8"/>
    <w:rsid w:val="007F4063"/>
    <w:rsid w:val="007F49B9"/>
    <w:rsid w:val="007F6053"/>
    <w:rsid w:val="00801086"/>
    <w:rsid w:val="00801C38"/>
    <w:rsid w:val="00807B78"/>
    <w:rsid w:val="00807CFB"/>
    <w:rsid w:val="0081009D"/>
    <w:rsid w:val="0081053E"/>
    <w:rsid w:val="008156A7"/>
    <w:rsid w:val="00817541"/>
    <w:rsid w:val="00821A0D"/>
    <w:rsid w:val="00822CEA"/>
    <w:rsid w:val="00823245"/>
    <w:rsid w:val="0084243F"/>
    <w:rsid w:val="00843C8F"/>
    <w:rsid w:val="008457EE"/>
    <w:rsid w:val="00846332"/>
    <w:rsid w:val="00850C78"/>
    <w:rsid w:val="00854847"/>
    <w:rsid w:val="00860EA0"/>
    <w:rsid w:val="008619C6"/>
    <w:rsid w:val="00861BE4"/>
    <w:rsid w:val="00862523"/>
    <w:rsid w:val="00862D75"/>
    <w:rsid w:val="00864A4E"/>
    <w:rsid w:val="00865DB2"/>
    <w:rsid w:val="008679E9"/>
    <w:rsid w:val="00871D72"/>
    <w:rsid w:val="008720E8"/>
    <w:rsid w:val="00880196"/>
    <w:rsid w:val="00882A44"/>
    <w:rsid w:val="00890ED1"/>
    <w:rsid w:val="00891F6B"/>
    <w:rsid w:val="008A1A31"/>
    <w:rsid w:val="008A401A"/>
    <w:rsid w:val="008A4471"/>
    <w:rsid w:val="008A6D20"/>
    <w:rsid w:val="008B2679"/>
    <w:rsid w:val="008B4BF9"/>
    <w:rsid w:val="008B594D"/>
    <w:rsid w:val="008B6CA7"/>
    <w:rsid w:val="008C3149"/>
    <w:rsid w:val="008C6041"/>
    <w:rsid w:val="008D2097"/>
    <w:rsid w:val="008D2ADB"/>
    <w:rsid w:val="008D3292"/>
    <w:rsid w:val="008D63A0"/>
    <w:rsid w:val="008E01D4"/>
    <w:rsid w:val="008E5393"/>
    <w:rsid w:val="008E5F2B"/>
    <w:rsid w:val="008F2680"/>
    <w:rsid w:val="008F29EB"/>
    <w:rsid w:val="008F3D46"/>
    <w:rsid w:val="008F64AA"/>
    <w:rsid w:val="00900801"/>
    <w:rsid w:val="009009C5"/>
    <w:rsid w:val="00902AA6"/>
    <w:rsid w:val="00906C37"/>
    <w:rsid w:val="00912C14"/>
    <w:rsid w:val="00917B8B"/>
    <w:rsid w:val="009219AA"/>
    <w:rsid w:val="00925282"/>
    <w:rsid w:val="00926980"/>
    <w:rsid w:val="00930566"/>
    <w:rsid w:val="00931AF8"/>
    <w:rsid w:val="00932030"/>
    <w:rsid w:val="00940709"/>
    <w:rsid w:val="00943C56"/>
    <w:rsid w:val="0095201B"/>
    <w:rsid w:val="00961E95"/>
    <w:rsid w:val="00961F22"/>
    <w:rsid w:val="00966CAA"/>
    <w:rsid w:val="00972160"/>
    <w:rsid w:val="0097254F"/>
    <w:rsid w:val="00974E97"/>
    <w:rsid w:val="009762FD"/>
    <w:rsid w:val="0099567C"/>
    <w:rsid w:val="0099618F"/>
    <w:rsid w:val="009A3244"/>
    <w:rsid w:val="009A3E96"/>
    <w:rsid w:val="009A45B8"/>
    <w:rsid w:val="009A51E1"/>
    <w:rsid w:val="009A55BE"/>
    <w:rsid w:val="009A6FA8"/>
    <w:rsid w:val="009A7006"/>
    <w:rsid w:val="009A73AF"/>
    <w:rsid w:val="009B0D49"/>
    <w:rsid w:val="009B2019"/>
    <w:rsid w:val="009B2CF3"/>
    <w:rsid w:val="009B6142"/>
    <w:rsid w:val="009C5277"/>
    <w:rsid w:val="009C5E0E"/>
    <w:rsid w:val="009D0D37"/>
    <w:rsid w:val="009D154F"/>
    <w:rsid w:val="009D4437"/>
    <w:rsid w:val="009D48A6"/>
    <w:rsid w:val="009D6F9B"/>
    <w:rsid w:val="009D7728"/>
    <w:rsid w:val="009D7ED3"/>
    <w:rsid w:val="009E3960"/>
    <w:rsid w:val="009E5229"/>
    <w:rsid w:val="009E583E"/>
    <w:rsid w:val="009E614D"/>
    <w:rsid w:val="009E63F1"/>
    <w:rsid w:val="009F317E"/>
    <w:rsid w:val="009F3B8B"/>
    <w:rsid w:val="009F3BA8"/>
    <w:rsid w:val="009F4FD6"/>
    <w:rsid w:val="009F54CD"/>
    <w:rsid w:val="009F7456"/>
    <w:rsid w:val="009F7F8C"/>
    <w:rsid w:val="00A00919"/>
    <w:rsid w:val="00A03242"/>
    <w:rsid w:val="00A05A49"/>
    <w:rsid w:val="00A05B45"/>
    <w:rsid w:val="00A06344"/>
    <w:rsid w:val="00A1445B"/>
    <w:rsid w:val="00A15D7A"/>
    <w:rsid w:val="00A21120"/>
    <w:rsid w:val="00A2197B"/>
    <w:rsid w:val="00A263F9"/>
    <w:rsid w:val="00A2691B"/>
    <w:rsid w:val="00A35E25"/>
    <w:rsid w:val="00A43108"/>
    <w:rsid w:val="00A47112"/>
    <w:rsid w:val="00A517AA"/>
    <w:rsid w:val="00A525F0"/>
    <w:rsid w:val="00A52734"/>
    <w:rsid w:val="00A52E01"/>
    <w:rsid w:val="00A547BA"/>
    <w:rsid w:val="00A60C38"/>
    <w:rsid w:val="00A73AE7"/>
    <w:rsid w:val="00A74588"/>
    <w:rsid w:val="00A76DC2"/>
    <w:rsid w:val="00A779B4"/>
    <w:rsid w:val="00A8115A"/>
    <w:rsid w:val="00A833D1"/>
    <w:rsid w:val="00A850D9"/>
    <w:rsid w:val="00A8598D"/>
    <w:rsid w:val="00A86488"/>
    <w:rsid w:val="00A86CE5"/>
    <w:rsid w:val="00A91425"/>
    <w:rsid w:val="00A91671"/>
    <w:rsid w:val="00A91DEF"/>
    <w:rsid w:val="00A96906"/>
    <w:rsid w:val="00A96C63"/>
    <w:rsid w:val="00AA01BE"/>
    <w:rsid w:val="00AA286B"/>
    <w:rsid w:val="00AA406F"/>
    <w:rsid w:val="00AA50BF"/>
    <w:rsid w:val="00AA65E7"/>
    <w:rsid w:val="00AA7615"/>
    <w:rsid w:val="00AB21E5"/>
    <w:rsid w:val="00AB2642"/>
    <w:rsid w:val="00AB56EC"/>
    <w:rsid w:val="00AB6F26"/>
    <w:rsid w:val="00AB7468"/>
    <w:rsid w:val="00AC0550"/>
    <w:rsid w:val="00AC2FE4"/>
    <w:rsid w:val="00AC5974"/>
    <w:rsid w:val="00AC6BD3"/>
    <w:rsid w:val="00AC7B88"/>
    <w:rsid w:val="00AD0658"/>
    <w:rsid w:val="00AD0CE0"/>
    <w:rsid w:val="00AD112C"/>
    <w:rsid w:val="00AD3D1D"/>
    <w:rsid w:val="00AD4249"/>
    <w:rsid w:val="00AD5F2A"/>
    <w:rsid w:val="00AE1812"/>
    <w:rsid w:val="00AE196C"/>
    <w:rsid w:val="00AE1F97"/>
    <w:rsid w:val="00AE45CE"/>
    <w:rsid w:val="00AE5950"/>
    <w:rsid w:val="00AF2F63"/>
    <w:rsid w:val="00AF3D6B"/>
    <w:rsid w:val="00AF58B6"/>
    <w:rsid w:val="00AF638B"/>
    <w:rsid w:val="00B064F2"/>
    <w:rsid w:val="00B1585D"/>
    <w:rsid w:val="00B15C02"/>
    <w:rsid w:val="00B1778F"/>
    <w:rsid w:val="00B22813"/>
    <w:rsid w:val="00B27D92"/>
    <w:rsid w:val="00B3391C"/>
    <w:rsid w:val="00B347AE"/>
    <w:rsid w:val="00B37124"/>
    <w:rsid w:val="00B444F3"/>
    <w:rsid w:val="00B46691"/>
    <w:rsid w:val="00B46AEE"/>
    <w:rsid w:val="00B46B1A"/>
    <w:rsid w:val="00B4797C"/>
    <w:rsid w:val="00B53803"/>
    <w:rsid w:val="00B565D4"/>
    <w:rsid w:val="00B600D2"/>
    <w:rsid w:val="00B617BA"/>
    <w:rsid w:val="00B61FDF"/>
    <w:rsid w:val="00B624D9"/>
    <w:rsid w:val="00B67623"/>
    <w:rsid w:val="00B72236"/>
    <w:rsid w:val="00B733F6"/>
    <w:rsid w:val="00B734FD"/>
    <w:rsid w:val="00B74652"/>
    <w:rsid w:val="00B76CA3"/>
    <w:rsid w:val="00B77396"/>
    <w:rsid w:val="00B7757A"/>
    <w:rsid w:val="00B776C1"/>
    <w:rsid w:val="00B77CC9"/>
    <w:rsid w:val="00B83050"/>
    <w:rsid w:val="00B83C88"/>
    <w:rsid w:val="00B905C3"/>
    <w:rsid w:val="00B92C38"/>
    <w:rsid w:val="00B9478C"/>
    <w:rsid w:val="00BA01BC"/>
    <w:rsid w:val="00BA14C7"/>
    <w:rsid w:val="00BA2467"/>
    <w:rsid w:val="00BA2E0F"/>
    <w:rsid w:val="00BB168C"/>
    <w:rsid w:val="00BB1953"/>
    <w:rsid w:val="00BB35E1"/>
    <w:rsid w:val="00BB7A9C"/>
    <w:rsid w:val="00BC0E8F"/>
    <w:rsid w:val="00BC0F11"/>
    <w:rsid w:val="00BC2C6C"/>
    <w:rsid w:val="00BC36F8"/>
    <w:rsid w:val="00BC3DB1"/>
    <w:rsid w:val="00BC4F86"/>
    <w:rsid w:val="00BC6368"/>
    <w:rsid w:val="00BC6E69"/>
    <w:rsid w:val="00BD0D9E"/>
    <w:rsid w:val="00BD0F2A"/>
    <w:rsid w:val="00BD2D79"/>
    <w:rsid w:val="00BD3CDB"/>
    <w:rsid w:val="00BD494A"/>
    <w:rsid w:val="00BD4F6A"/>
    <w:rsid w:val="00BD7B1D"/>
    <w:rsid w:val="00BE0E41"/>
    <w:rsid w:val="00BE24D1"/>
    <w:rsid w:val="00BE51E8"/>
    <w:rsid w:val="00BE63B2"/>
    <w:rsid w:val="00BE6C29"/>
    <w:rsid w:val="00BF3C0C"/>
    <w:rsid w:val="00BF7373"/>
    <w:rsid w:val="00C07473"/>
    <w:rsid w:val="00C12805"/>
    <w:rsid w:val="00C12D89"/>
    <w:rsid w:val="00C13ABB"/>
    <w:rsid w:val="00C16A9D"/>
    <w:rsid w:val="00C17A47"/>
    <w:rsid w:val="00C2142F"/>
    <w:rsid w:val="00C32F59"/>
    <w:rsid w:val="00C35E93"/>
    <w:rsid w:val="00C433B4"/>
    <w:rsid w:val="00C54A4F"/>
    <w:rsid w:val="00C5743C"/>
    <w:rsid w:val="00C57795"/>
    <w:rsid w:val="00C63248"/>
    <w:rsid w:val="00C63DED"/>
    <w:rsid w:val="00C64BD4"/>
    <w:rsid w:val="00C654C1"/>
    <w:rsid w:val="00C675F7"/>
    <w:rsid w:val="00C67B9E"/>
    <w:rsid w:val="00C71CFF"/>
    <w:rsid w:val="00C72713"/>
    <w:rsid w:val="00C72EE2"/>
    <w:rsid w:val="00C777C4"/>
    <w:rsid w:val="00C800B3"/>
    <w:rsid w:val="00C90F59"/>
    <w:rsid w:val="00C930CD"/>
    <w:rsid w:val="00C93A2D"/>
    <w:rsid w:val="00CA08AB"/>
    <w:rsid w:val="00CA45F7"/>
    <w:rsid w:val="00CA7293"/>
    <w:rsid w:val="00CB379B"/>
    <w:rsid w:val="00CC0019"/>
    <w:rsid w:val="00CC3949"/>
    <w:rsid w:val="00CC448F"/>
    <w:rsid w:val="00CC6D0F"/>
    <w:rsid w:val="00CC7F1A"/>
    <w:rsid w:val="00CD00B4"/>
    <w:rsid w:val="00CD0E91"/>
    <w:rsid w:val="00CD2312"/>
    <w:rsid w:val="00CD2375"/>
    <w:rsid w:val="00CD3328"/>
    <w:rsid w:val="00CE0DC3"/>
    <w:rsid w:val="00CE16B6"/>
    <w:rsid w:val="00CE1B96"/>
    <w:rsid w:val="00CE290C"/>
    <w:rsid w:val="00CE2AC7"/>
    <w:rsid w:val="00CE4639"/>
    <w:rsid w:val="00CE4A98"/>
    <w:rsid w:val="00CE4F8C"/>
    <w:rsid w:val="00CF1B2B"/>
    <w:rsid w:val="00CF30D0"/>
    <w:rsid w:val="00CF67DB"/>
    <w:rsid w:val="00CF6E23"/>
    <w:rsid w:val="00D015F0"/>
    <w:rsid w:val="00D02708"/>
    <w:rsid w:val="00D0782E"/>
    <w:rsid w:val="00D10471"/>
    <w:rsid w:val="00D114F6"/>
    <w:rsid w:val="00D235C3"/>
    <w:rsid w:val="00D241DE"/>
    <w:rsid w:val="00D25C53"/>
    <w:rsid w:val="00D26FAD"/>
    <w:rsid w:val="00D30453"/>
    <w:rsid w:val="00D305DC"/>
    <w:rsid w:val="00D324AB"/>
    <w:rsid w:val="00D324E8"/>
    <w:rsid w:val="00D367BF"/>
    <w:rsid w:val="00D44BFC"/>
    <w:rsid w:val="00D53C8A"/>
    <w:rsid w:val="00D571AA"/>
    <w:rsid w:val="00D57AC4"/>
    <w:rsid w:val="00D57BDD"/>
    <w:rsid w:val="00D66715"/>
    <w:rsid w:val="00D7105A"/>
    <w:rsid w:val="00D71809"/>
    <w:rsid w:val="00D76DC0"/>
    <w:rsid w:val="00D7784F"/>
    <w:rsid w:val="00D80793"/>
    <w:rsid w:val="00D81AD1"/>
    <w:rsid w:val="00D84213"/>
    <w:rsid w:val="00D85291"/>
    <w:rsid w:val="00D9075D"/>
    <w:rsid w:val="00D94401"/>
    <w:rsid w:val="00D94FDB"/>
    <w:rsid w:val="00DA1569"/>
    <w:rsid w:val="00DA2310"/>
    <w:rsid w:val="00DA4E07"/>
    <w:rsid w:val="00DB0D09"/>
    <w:rsid w:val="00DB3AB0"/>
    <w:rsid w:val="00DB46EC"/>
    <w:rsid w:val="00DB4AC0"/>
    <w:rsid w:val="00DC2390"/>
    <w:rsid w:val="00DC714C"/>
    <w:rsid w:val="00DD1D4C"/>
    <w:rsid w:val="00DE351E"/>
    <w:rsid w:val="00DE3E6C"/>
    <w:rsid w:val="00DE6397"/>
    <w:rsid w:val="00DF0728"/>
    <w:rsid w:val="00DF1904"/>
    <w:rsid w:val="00DF198E"/>
    <w:rsid w:val="00DF19C3"/>
    <w:rsid w:val="00DF44C8"/>
    <w:rsid w:val="00DF47C0"/>
    <w:rsid w:val="00E00B0D"/>
    <w:rsid w:val="00E018D0"/>
    <w:rsid w:val="00E122AA"/>
    <w:rsid w:val="00E13246"/>
    <w:rsid w:val="00E16C08"/>
    <w:rsid w:val="00E24DBC"/>
    <w:rsid w:val="00E250C5"/>
    <w:rsid w:val="00E253FE"/>
    <w:rsid w:val="00E25B54"/>
    <w:rsid w:val="00E272E8"/>
    <w:rsid w:val="00E27921"/>
    <w:rsid w:val="00E34F67"/>
    <w:rsid w:val="00E3569F"/>
    <w:rsid w:val="00E36E32"/>
    <w:rsid w:val="00E40501"/>
    <w:rsid w:val="00E40978"/>
    <w:rsid w:val="00E43507"/>
    <w:rsid w:val="00E4584C"/>
    <w:rsid w:val="00E4655F"/>
    <w:rsid w:val="00E50559"/>
    <w:rsid w:val="00E508F8"/>
    <w:rsid w:val="00E50BD0"/>
    <w:rsid w:val="00E5215C"/>
    <w:rsid w:val="00E532C7"/>
    <w:rsid w:val="00E55883"/>
    <w:rsid w:val="00E55FB0"/>
    <w:rsid w:val="00E60C1C"/>
    <w:rsid w:val="00E72CDB"/>
    <w:rsid w:val="00E745FC"/>
    <w:rsid w:val="00E80682"/>
    <w:rsid w:val="00E81091"/>
    <w:rsid w:val="00E83D92"/>
    <w:rsid w:val="00E86375"/>
    <w:rsid w:val="00E87DDD"/>
    <w:rsid w:val="00E90D87"/>
    <w:rsid w:val="00E91B53"/>
    <w:rsid w:val="00E91C39"/>
    <w:rsid w:val="00E93899"/>
    <w:rsid w:val="00E9482F"/>
    <w:rsid w:val="00EA349A"/>
    <w:rsid w:val="00EB0D6F"/>
    <w:rsid w:val="00EB2E61"/>
    <w:rsid w:val="00EB3D33"/>
    <w:rsid w:val="00EB3E48"/>
    <w:rsid w:val="00EB5B0F"/>
    <w:rsid w:val="00EB6C03"/>
    <w:rsid w:val="00EB79F4"/>
    <w:rsid w:val="00EB7CA9"/>
    <w:rsid w:val="00EC0584"/>
    <w:rsid w:val="00EC2D31"/>
    <w:rsid w:val="00EC352C"/>
    <w:rsid w:val="00EC41FD"/>
    <w:rsid w:val="00ED548A"/>
    <w:rsid w:val="00ED5D77"/>
    <w:rsid w:val="00EE26C3"/>
    <w:rsid w:val="00EE4AD2"/>
    <w:rsid w:val="00EF049C"/>
    <w:rsid w:val="00EF31F4"/>
    <w:rsid w:val="00EF332A"/>
    <w:rsid w:val="00EF45EE"/>
    <w:rsid w:val="00EF7A12"/>
    <w:rsid w:val="00F07055"/>
    <w:rsid w:val="00F07C2C"/>
    <w:rsid w:val="00F10B1B"/>
    <w:rsid w:val="00F125F2"/>
    <w:rsid w:val="00F2195D"/>
    <w:rsid w:val="00F26878"/>
    <w:rsid w:val="00F315DD"/>
    <w:rsid w:val="00F33383"/>
    <w:rsid w:val="00F34035"/>
    <w:rsid w:val="00F356F5"/>
    <w:rsid w:val="00F41D59"/>
    <w:rsid w:val="00F4579B"/>
    <w:rsid w:val="00F54FD2"/>
    <w:rsid w:val="00F612F8"/>
    <w:rsid w:val="00F617CE"/>
    <w:rsid w:val="00F62E59"/>
    <w:rsid w:val="00F649D6"/>
    <w:rsid w:val="00F66DC9"/>
    <w:rsid w:val="00F7450A"/>
    <w:rsid w:val="00F80175"/>
    <w:rsid w:val="00F8218D"/>
    <w:rsid w:val="00F862A3"/>
    <w:rsid w:val="00F86319"/>
    <w:rsid w:val="00F91772"/>
    <w:rsid w:val="00F94405"/>
    <w:rsid w:val="00F946D3"/>
    <w:rsid w:val="00F95F91"/>
    <w:rsid w:val="00FA0EA8"/>
    <w:rsid w:val="00FA0F8E"/>
    <w:rsid w:val="00FA1606"/>
    <w:rsid w:val="00FA19CB"/>
    <w:rsid w:val="00FA76D0"/>
    <w:rsid w:val="00FB02DF"/>
    <w:rsid w:val="00FB2EBC"/>
    <w:rsid w:val="00FB37B6"/>
    <w:rsid w:val="00FB42DC"/>
    <w:rsid w:val="00FB4E5C"/>
    <w:rsid w:val="00FB673D"/>
    <w:rsid w:val="00FB68B9"/>
    <w:rsid w:val="00FC0019"/>
    <w:rsid w:val="00FC1873"/>
    <w:rsid w:val="00FC23AE"/>
    <w:rsid w:val="00FC71FE"/>
    <w:rsid w:val="00FD18B8"/>
    <w:rsid w:val="00FD38E3"/>
    <w:rsid w:val="00FD6E09"/>
    <w:rsid w:val="00FE1F33"/>
    <w:rsid w:val="00FE1F9D"/>
    <w:rsid w:val="00FE39C0"/>
    <w:rsid w:val="00FE65FF"/>
    <w:rsid w:val="00FF0A4A"/>
    <w:rsid w:val="00FF200F"/>
    <w:rsid w:val="00FF371A"/>
    <w:rsid w:val="00FF5E51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B74145"/>
  <w15:chartTrackingRefBased/>
  <w15:docId w15:val="{01976CF0-B391-4653-B8A0-D01D1E7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color w:val="222222"/>
      <w:kern w:val="1"/>
      <w:sz w:val="24"/>
      <w:szCs w:val="24"/>
      <w:lang w:eastAsia="hi-IN" w:bidi="hi-IN"/>
    </w:rPr>
  </w:style>
  <w:style w:type="paragraph" w:styleId="Naslov5">
    <w:name w:val="heading 5"/>
    <w:basedOn w:val="Normal"/>
    <w:next w:val="Normal"/>
    <w:link w:val="Naslov5Char"/>
    <w:qFormat/>
    <w:rsid w:val="00F7450A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kern w:val="0"/>
      <w:sz w:val="26"/>
      <w:szCs w:val="26"/>
      <w:lang w:val="x-none" w:eastAsia="x-none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imbolinumeriranja">
    <w:name w:val="Simboli numeriranja"/>
  </w:style>
  <w:style w:type="character" w:customStyle="1" w:styleId="HeaderChar">
    <w:name w:val="Head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eza">
    <w:name w:val="Hyperlink"/>
    <w:uiPriority w:val="99"/>
    <w:rPr>
      <w:color w:val="0000FF"/>
      <w:u w:val="single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24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color w:val="auto"/>
      <w:szCs w:val="21"/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szCs w:val="21"/>
    </w:rPr>
  </w:style>
  <w:style w:type="paragraph" w:customStyle="1" w:styleId="BalloonText1">
    <w:name w:val="Balloon Text1"/>
    <w:basedOn w:val="Normal"/>
    <w:rPr>
      <w:rFonts w:ascii="Tahoma" w:hAnsi="Tahoma"/>
      <w:sz w:val="16"/>
      <w:szCs w:val="14"/>
    </w:rPr>
  </w:style>
  <w:style w:type="character" w:customStyle="1" w:styleId="ZaglavljeChar">
    <w:name w:val="Zaglavlje Char"/>
    <w:link w:val="Zaglavlje"/>
    <w:uiPriority w:val="99"/>
    <w:rsid w:val="00F07C2C"/>
    <w:rPr>
      <w:rFonts w:eastAsia="SimSu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7C2C"/>
    <w:rPr>
      <w:rFonts w:ascii="Tahoma" w:hAnsi="Tahoma"/>
      <w:color w:val="auto"/>
      <w:sz w:val="16"/>
      <w:szCs w:val="14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F07C2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slov5Char">
    <w:name w:val="Naslov 5 Char"/>
    <w:link w:val="Naslov5"/>
    <w:rsid w:val="00F7450A"/>
    <w:rPr>
      <w:b/>
      <w:bCs/>
      <w:i/>
      <w:iCs/>
      <w:sz w:val="26"/>
      <w:szCs w:val="26"/>
    </w:rPr>
  </w:style>
  <w:style w:type="table" w:styleId="Reetkatablice">
    <w:name w:val="Table Grid"/>
    <w:basedOn w:val="Obinatablica"/>
    <w:rsid w:val="0042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D015F0"/>
  </w:style>
  <w:style w:type="paragraph" w:styleId="Odlomakpopisa">
    <w:name w:val="List Paragraph"/>
    <w:basedOn w:val="Normal"/>
    <w:uiPriority w:val="34"/>
    <w:qFormat/>
    <w:rsid w:val="001C6F6D"/>
    <w:pPr>
      <w:ind w:left="708"/>
    </w:pPr>
    <w:rPr>
      <w:szCs w:val="21"/>
    </w:rPr>
  </w:style>
  <w:style w:type="character" w:customStyle="1" w:styleId="il">
    <w:name w:val="il"/>
    <w:basedOn w:val="Zadanifontodlomka"/>
    <w:rsid w:val="001C6F6D"/>
  </w:style>
  <w:style w:type="character" w:customStyle="1" w:styleId="apple-converted-space">
    <w:name w:val="apple-converted-space"/>
    <w:basedOn w:val="Zadanifontodlomka"/>
    <w:rsid w:val="001C6F6D"/>
  </w:style>
  <w:style w:type="paragraph" w:styleId="Bezproreda">
    <w:name w:val="No Spacing"/>
    <w:basedOn w:val="Normal"/>
    <w:link w:val="BezproredaChar"/>
    <w:uiPriority w:val="1"/>
    <w:qFormat/>
    <w:rsid w:val="00630903"/>
    <w:pPr>
      <w:widowControl/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0903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D9075D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06500A"/>
    <w:rPr>
      <w:rFonts w:eastAsia="SimSun" w:cs="Mangal"/>
      <w:color w:val="222222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vpcep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JVP%20&#268;epin\Dokumenti\www.jvp&#269;epin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53F2-B636-4077-8EC8-EE200A2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4213</Words>
  <Characters>24020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programa rada s FP za 2025</vt:lpstr>
      <vt:lpstr>Osijek, 01</vt:lpstr>
    </vt:vector>
  </TitlesOfParts>
  <Company/>
  <LinksUpToDate>false</LinksUpToDate>
  <CharactersWithSpaces>28177</CharactersWithSpaces>
  <SharedDoc>false</SharedDoc>
  <HLinks>
    <vt:vector size="6" baseType="variant">
      <vt:variant>
        <vt:i4>6619204</vt:i4>
      </vt:variant>
      <vt:variant>
        <vt:i4>5</vt:i4>
      </vt:variant>
      <vt:variant>
        <vt:i4>0</vt:i4>
      </vt:variant>
      <vt:variant>
        <vt:i4>5</vt:i4>
      </vt:variant>
      <vt:variant>
        <vt:lpwstr>mailto:vatrogos@gmail.com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programa rada s FP za 2025</dc:title>
  <dc:subject/>
  <dc:creator>Tomislav Nađ</dc:creator>
  <cp:keywords/>
  <cp:lastModifiedBy>OpcinaPCY</cp:lastModifiedBy>
  <cp:revision>8</cp:revision>
  <cp:lastPrinted>2023-08-29T10:18:00Z</cp:lastPrinted>
  <dcterms:created xsi:type="dcterms:W3CDTF">2024-11-27T14:32:00Z</dcterms:created>
  <dcterms:modified xsi:type="dcterms:W3CDTF">2025-01-02T07:59:00Z</dcterms:modified>
</cp:coreProperties>
</file>