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153AB" w14:textId="4BE95D95" w:rsidR="00485C86" w:rsidRPr="00485C86" w:rsidRDefault="00485C86" w:rsidP="00485C8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hr-HR"/>
          <w14:ligatures w14:val="none"/>
        </w:rPr>
      </w:pPr>
      <w:bookmarkStart w:id="0" w:name="_Hlk125356086"/>
      <w:r w:rsidRPr="00485C86">
        <w:rPr>
          <w:rFonts w:ascii="Times New Roman" w:eastAsia="Times New Roman" w:hAnsi="Times New Roman" w:cs="Calibri"/>
          <w:kern w:val="0"/>
          <w:sz w:val="24"/>
          <w:szCs w:val="24"/>
          <w:lang w:eastAsia="hr-HR"/>
          <w14:ligatures w14:val="none"/>
        </w:rPr>
        <w:t xml:space="preserve">Temeljem članka </w:t>
      </w:r>
      <w:bookmarkStart w:id="1" w:name="_Hlk125616096"/>
      <w:r w:rsidRPr="00485C86">
        <w:rPr>
          <w:rFonts w:ascii="Times New Roman" w:eastAsia="Times New Roman" w:hAnsi="Times New Roman" w:cs="Calibri"/>
          <w:kern w:val="0"/>
          <w:sz w:val="24"/>
          <w:szCs w:val="24"/>
          <w:lang w:eastAsia="hr-HR"/>
          <w14:ligatures w14:val="none"/>
        </w:rPr>
        <w:t xml:space="preserve">119.  Zakona o proračunu („Narodne novine“ 144/21)  </w:t>
      </w:r>
      <w:bookmarkEnd w:id="1"/>
      <w:r w:rsidRPr="00485C86">
        <w:rPr>
          <w:rFonts w:ascii="Times New Roman" w:eastAsia="Times New Roman" w:hAnsi="Times New Roman" w:cs="Calibri"/>
          <w:kern w:val="0"/>
          <w:sz w:val="24"/>
          <w:szCs w:val="24"/>
          <w:lang w:eastAsia="hr-HR"/>
          <w14:ligatures w14:val="none"/>
        </w:rPr>
        <w:t xml:space="preserve">i članka 30. Statuta Općine Vladislavci (''Službeni glasnik'' Općine Vladislavci broj </w:t>
      </w:r>
      <w:bookmarkStart w:id="2" w:name="_Hlk95464289"/>
      <w:r w:rsidRPr="00485C86">
        <w:rPr>
          <w:rFonts w:ascii="Times New Roman" w:eastAsia="Times New Roman" w:hAnsi="Times New Roman" w:cs="Calibri"/>
          <w:kern w:val="0"/>
          <w:sz w:val="24"/>
          <w:szCs w:val="24"/>
          <w:lang w:eastAsia="hr-HR"/>
          <w14:ligatures w14:val="none"/>
        </w:rPr>
        <w:t xml:space="preserve">3/13, 3/17, 2/18, </w:t>
      </w:r>
      <w:r w:rsidRPr="00485C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4/20, 5-20- pročišćeni tekst, 8/20, 2/21</w:t>
      </w:r>
      <w:bookmarkEnd w:id="2"/>
      <w:r w:rsidRPr="00485C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3/21 – pročišćeni tekst</w:t>
      </w:r>
      <w:r w:rsidRPr="00485C86">
        <w:rPr>
          <w:rFonts w:ascii="Times New Roman" w:eastAsia="Times New Roman" w:hAnsi="Times New Roman" w:cs="Calibri"/>
          <w:kern w:val="0"/>
          <w:sz w:val="24"/>
          <w:szCs w:val="24"/>
          <w:lang w:eastAsia="hr-HR"/>
          <w14:ligatures w14:val="none"/>
        </w:rPr>
        <w:t xml:space="preserve">), Općinsko vijeće Općine Vladislavci na svojoj  </w:t>
      </w:r>
      <w:r w:rsidR="00FF476C">
        <w:rPr>
          <w:rFonts w:ascii="Times New Roman" w:eastAsia="Times New Roman" w:hAnsi="Times New Roman" w:cs="Calibri"/>
          <w:kern w:val="0"/>
          <w:sz w:val="24"/>
          <w:szCs w:val="24"/>
          <w:lang w:eastAsia="hr-HR"/>
          <w14:ligatures w14:val="none"/>
        </w:rPr>
        <w:t>40</w:t>
      </w:r>
      <w:r w:rsidRPr="00485C86">
        <w:rPr>
          <w:rFonts w:ascii="Times New Roman" w:eastAsia="Times New Roman" w:hAnsi="Times New Roman" w:cs="Calibri"/>
          <w:kern w:val="0"/>
          <w:sz w:val="24"/>
          <w:szCs w:val="24"/>
          <w:lang w:eastAsia="hr-HR"/>
          <w14:ligatures w14:val="none"/>
        </w:rPr>
        <w:t xml:space="preserve">. sjednici održanoj dana </w:t>
      </w:r>
      <w:r w:rsidR="001264DB">
        <w:rPr>
          <w:rFonts w:ascii="Times New Roman" w:eastAsia="Times New Roman" w:hAnsi="Times New Roman" w:cs="Calibri"/>
          <w:kern w:val="0"/>
          <w:sz w:val="24"/>
          <w:szCs w:val="24"/>
          <w:lang w:eastAsia="hr-HR"/>
          <w14:ligatures w14:val="none"/>
        </w:rPr>
        <w:t>08.</w:t>
      </w:r>
      <w:r w:rsidRPr="00485C86">
        <w:rPr>
          <w:rFonts w:ascii="Times New Roman" w:eastAsia="Times New Roman" w:hAnsi="Times New Roman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="00FF476C">
        <w:rPr>
          <w:rFonts w:ascii="Times New Roman" w:eastAsia="Times New Roman" w:hAnsi="Times New Roman" w:cs="Calibri"/>
          <w:kern w:val="0"/>
          <w:sz w:val="24"/>
          <w:szCs w:val="24"/>
          <w:lang w:eastAsia="hr-HR"/>
          <w14:ligatures w14:val="none"/>
        </w:rPr>
        <w:t xml:space="preserve">svibnja 2024. </w:t>
      </w:r>
      <w:r w:rsidRPr="00485C86">
        <w:rPr>
          <w:rFonts w:ascii="Times New Roman" w:eastAsia="Times New Roman" w:hAnsi="Times New Roman" w:cs="Calibri"/>
          <w:kern w:val="0"/>
          <w:sz w:val="24"/>
          <w:szCs w:val="24"/>
          <w:lang w:eastAsia="hr-HR"/>
          <w14:ligatures w14:val="none"/>
        </w:rPr>
        <w:t>godine, donijelo je</w:t>
      </w:r>
    </w:p>
    <w:p w14:paraId="6D838648" w14:textId="77777777" w:rsidR="00485C86" w:rsidRPr="00485C86" w:rsidRDefault="00485C86" w:rsidP="00485C8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9C37D14" w14:textId="77777777" w:rsidR="00485C86" w:rsidRPr="00485C86" w:rsidRDefault="00485C86" w:rsidP="00485C86">
      <w:pPr>
        <w:widowControl w:val="0"/>
        <w:autoSpaceDE w:val="0"/>
        <w:autoSpaceDN w:val="0"/>
        <w:adjustRightInd w:val="0"/>
        <w:spacing w:after="0" w:line="240" w:lineRule="auto"/>
        <w:ind w:left="4660" w:hanging="46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85C86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hr-HR"/>
          <w14:ligatures w14:val="none"/>
        </w:rPr>
        <w:t>O D L U K U</w:t>
      </w:r>
    </w:p>
    <w:p w14:paraId="0BA24B19" w14:textId="77777777" w:rsidR="00485C86" w:rsidRPr="00485C86" w:rsidRDefault="00485C86" w:rsidP="00485C86">
      <w:pPr>
        <w:widowControl w:val="0"/>
        <w:autoSpaceDE w:val="0"/>
        <w:autoSpaceDN w:val="0"/>
        <w:adjustRightInd w:val="0"/>
        <w:spacing w:after="0" w:line="29" w:lineRule="exact"/>
        <w:ind w:hanging="46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C27C7F5" w14:textId="77777777" w:rsidR="00485C86" w:rsidRPr="00485C86" w:rsidRDefault="00485C86" w:rsidP="00485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bookmarkStart w:id="3" w:name="_Hlk125613477"/>
      <w:bookmarkStart w:id="4" w:name="_Hlk125355985"/>
      <w:r w:rsidRPr="00485C86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hr-HR"/>
          <w14:ligatures w14:val="none"/>
        </w:rPr>
        <w:t>o kratkoročnom zaduživanju Općine Vladislavci</w:t>
      </w:r>
    </w:p>
    <w:bookmarkEnd w:id="3"/>
    <w:p w14:paraId="4D2F05F4" w14:textId="77777777" w:rsidR="00485C86" w:rsidRPr="00485C86" w:rsidRDefault="00485C86" w:rsidP="00485C8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-108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hr-HR"/>
          <w14:ligatures w14:val="none"/>
        </w:rPr>
      </w:pPr>
    </w:p>
    <w:bookmarkEnd w:id="4"/>
    <w:p w14:paraId="20043689" w14:textId="77777777" w:rsidR="00485C86" w:rsidRPr="00485C86" w:rsidRDefault="00485C86" w:rsidP="00485C8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-108"/>
        <w:jc w:val="center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485C86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hr-HR"/>
          <w14:ligatures w14:val="none"/>
        </w:rPr>
        <w:t>Članak 1.</w:t>
      </w:r>
    </w:p>
    <w:p w14:paraId="72AEC2A9" w14:textId="77777777" w:rsidR="00485C86" w:rsidRPr="00485C86" w:rsidRDefault="00485C86" w:rsidP="00485C86">
      <w:pPr>
        <w:widowControl w:val="0"/>
        <w:autoSpaceDE w:val="0"/>
        <w:autoSpaceDN w:val="0"/>
        <w:adjustRightInd w:val="0"/>
        <w:spacing w:after="0" w:line="52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56ECF9F" w14:textId="3369885B" w:rsidR="00485C86" w:rsidRPr="009277F7" w:rsidRDefault="00485C86" w:rsidP="009277F7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right="113" w:hanging="284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Općina Vladislavci </w:t>
      </w:r>
      <w:r w:rsidRPr="009277F7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ima</w:t>
      </w:r>
      <w:r w:rsidRPr="009277F7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otvoren</w:t>
      </w:r>
      <w:r w:rsidRPr="009277F7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račun</w:t>
      </w:r>
      <w:r w:rsidRPr="009277F7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za</w:t>
      </w:r>
      <w:r w:rsidRPr="009277F7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redovno</w:t>
      </w:r>
      <w:r w:rsidRPr="009277F7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poslovanje</w:t>
      </w:r>
      <w:r w:rsidRPr="009277F7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kod</w:t>
      </w:r>
      <w:r w:rsidRPr="009277F7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Hrvatske poštanske banke d.d. Zagreb.,</w:t>
      </w:r>
      <w:r w:rsidRPr="009277F7">
        <w:rPr>
          <w:rFonts w:ascii="Times New Roman" w:eastAsia="Arial MT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te</w:t>
      </w:r>
      <w:r w:rsidRPr="009277F7">
        <w:rPr>
          <w:rFonts w:ascii="Times New Roman" w:eastAsia="Arial MT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će</w:t>
      </w:r>
      <w:r w:rsidRPr="009277F7">
        <w:rPr>
          <w:rFonts w:ascii="Times New Roman" w:eastAsia="Arial MT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se</w:t>
      </w:r>
      <w:r w:rsidRPr="009277F7">
        <w:rPr>
          <w:rFonts w:ascii="Times New Roman" w:eastAsia="Arial MT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kratkoročno</w:t>
      </w:r>
      <w:r w:rsidRPr="009277F7">
        <w:rPr>
          <w:rFonts w:ascii="Times New Roman" w:eastAsia="Arial MT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zadužiti</w:t>
      </w:r>
      <w:r w:rsidRPr="009277F7">
        <w:rPr>
          <w:rFonts w:ascii="Times New Roman" w:eastAsia="Arial MT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kod Hrvatske poštanske banke d.d. Zagreb,  uzimanjem kratkoročnog </w:t>
      </w:r>
      <w:bookmarkStart w:id="5" w:name="_Hlk131574171"/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kredita po principu dozvoljenog</w:t>
      </w:r>
      <w:r w:rsidRPr="009277F7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prekoračenja</w:t>
      </w:r>
      <w:r w:rsidRPr="009277F7">
        <w:rPr>
          <w:rFonts w:ascii="Times New Roman" w:eastAsia="Arial MT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po</w:t>
      </w:r>
      <w:r w:rsidRPr="009277F7">
        <w:rPr>
          <w:rFonts w:ascii="Times New Roman" w:eastAsia="Arial MT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žiro-računu</w:t>
      </w:r>
      <w:r w:rsidRPr="009277F7">
        <w:rPr>
          <w:rFonts w:ascii="Times New Roman" w:eastAsia="Arial MT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u</w:t>
      </w:r>
      <w:r w:rsidRPr="009277F7">
        <w:rPr>
          <w:rFonts w:ascii="Times New Roman" w:eastAsia="Arial MT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okvirnom</w:t>
      </w:r>
      <w:r w:rsidRPr="009277F7">
        <w:rPr>
          <w:rFonts w:ascii="Times New Roman" w:eastAsia="Arial MT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iznosu</w:t>
      </w:r>
      <w:r w:rsidRPr="009277F7">
        <w:rPr>
          <w:rFonts w:ascii="Times New Roman" w:eastAsia="Arial MT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od</w:t>
      </w:r>
      <w:r w:rsidRPr="009277F7">
        <w:rPr>
          <w:rFonts w:ascii="Times New Roman" w:eastAsia="Arial MT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130.000,00 EUR</w:t>
      </w:r>
      <w:bookmarkEnd w:id="5"/>
      <w:r w:rsidRPr="009277F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3D6A5A9" w14:textId="77777777" w:rsidR="00567C6C" w:rsidRDefault="00567C6C" w:rsidP="00485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hr-HR"/>
          <w14:ligatures w14:val="none"/>
        </w:rPr>
      </w:pPr>
    </w:p>
    <w:p w14:paraId="771FD4E9" w14:textId="55D913BA" w:rsidR="00485C86" w:rsidRPr="00485C86" w:rsidRDefault="00485C86" w:rsidP="00485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485C86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hr-HR"/>
          <w14:ligatures w14:val="none"/>
        </w:rPr>
        <w:t>Članak 2.</w:t>
      </w:r>
    </w:p>
    <w:p w14:paraId="48AB10FE" w14:textId="77777777" w:rsidR="00485C86" w:rsidRPr="00485C86" w:rsidRDefault="00485C86" w:rsidP="00485C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4" w:lineRule="exact"/>
        <w:ind w:left="284" w:hanging="28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85C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Općina Vladislavci zadužit će se po slijedećim uvjetima: </w:t>
      </w:r>
    </w:p>
    <w:p w14:paraId="65B7CEB7" w14:textId="77777777" w:rsidR="00485C86" w:rsidRPr="00485C86" w:rsidRDefault="00485C86" w:rsidP="00485C86">
      <w:pPr>
        <w:adjustRightInd w:val="0"/>
        <w:spacing w:after="0" w:line="204" w:lineRule="exact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78238A4" w14:textId="77777777" w:rsidR="00485C86" w:rsidRPr="00485C86" w:rsidRDefault="00485C86" w:rsidP="00485C86">
      <w:pPr>
        <w:adjustRightInd w:val="0"/>
        <w:spacing w:after="0" w:line="204" w:lineRule="exact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25"/>
        <w:gridCol w:w="6237"/>
      </w:tblGrid>
      <w:tr w:rsidR="00485C86" w:rsidRPr="00FF476C" w14:paraId="401C45D9" w14:textId="77777777" w:rsidTr="00C96C38">
        <w:tc>
          <w:tcPr>
            <w:tcW w:w="2880" w:type="dxa"/>
          </w:tcPr>
          <w:p w14:paraId="39C3D694" w14:textId="77777777" w:rsidR="00485C86" w:rsidRPr="00FF476C" w:rsidRDefault="00485C86" w:rsidP="00485C86">
            <w:pPr>
              <w:adjustRightInd w:val="0"/>
              <w:spacing w:line="204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F476C"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  <w:t>Namjena</w:t>
            </w:r>
            <w:r w:rsidRPr="00FF476C">
              <w:rPr>
                <w:rFonts w:ascii="Times New Roman" w:eastAsia="Arial MT" w:hAnsi="Times New Roman" w:cs="Times New Roman"/>
                <w:b/>
                <w:spacing w:val="-1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  <w:t>kredita:</w:t>
            </w:r>
          </w:p>
        </w:tc>
        <w:tc>
          <w:tcPr>
            <w:tcW w:w="6420" w:type="dxa"/>
          </w:tcPr>
          <w:p w14:paraId="290BADEE" w14:textId="77777777" w:rsidR="00485C86" w:rsidRPr="00FF476C" w:rsidRDefault="00485C86" w:rsidP="00485C86">
            <w:pPr>
              <w:adjustRightInd w:val="0"/>
              <w:spacing w:line="204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F476C">
              <w:rPr>
                <w:rFonts w:ascii="Times New Roman" w:eastAsia="Arial MT" w:hAnsi="Times New Roman" w:cs="Times New Roman"/>
                <w:w w:val="95"/>
                <w:sz w:val="24"/>
                <w:szCs w:val="24"/>
                <w:lang w:val="hr-HR"/>
              </w:rPr>
              <w:t>Za</w:t>
            </w:r>
            <w:r w:rsidRPr="00FF476C">
              <w:rPr>
                <w:rFonts w:ascii="Times New Roman" w:eastAsia="Arial MT" w:hAnsi="Times New Roman" w:cs="Times New Roman"/>
                <w:spacing w:val="-6"/>
                <w:w w:val="95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w w:val="95"/>
                <w:sz w:val="24"/>
                <w:szCs w:val="24"/>
                <w:lang w:val="hr-HR"/>
              </w:rPr>
              <w:t>tekuću</w:t>
            </w:r>
            <w:r w:rsidRPr="00FF476C">
              <w:rPr>
                <w:rFonts w:ascii="Times New Roman" w:eastAsia="Arial MT" w:hAnsi="Times New Roman" w:cs="Times New Roman"/>
                <w:spacing w:val="-4"/>
                <w:w w:val="95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w w:val="95"/>
                <w:sz w:val="24"/>
                <w:szCs w:val="24"/>
                <w:lang w:val="hr-HR"/>
              </w:rPr>
              <w:t xml:space="preserve">likvidnost zbog </w:t>
            </w:r>
            <w:r w:rsidRPr="00FF476C">
              <w:rPr>
                <w:rFonts w:ascii="Times New Roman" w:eastAsia="Arial MT" w:hAnsi="Times New Roman" w:cs="Times New Roman"/>
                <w:color w:val="231F20"/>
                <w:sz w:val="24"/>
                <w:szCs w:val="24"/>
                <w:shd w:val="clear" w:color="auto" w:fill="FFFFFF"/>
                <w:lang w:val="hr-HR"/>
              </w:rPr>
              <w:t>a premošćivanje jaza nastalog zbog različite dinamike priljeva sredstava i dospijeća obveza</w:t>
            </w:r>
          </w:p>
        </w:tc>
      </w:tr>
      <w:tr w:rsidR="00485C86" w:rsidRPr="00FF476C" w14:paraId="39C826A4" w14:textId="77777777" w:rsidTr="00C96C38">
        <w:tc>
          <w:tcPr>
            <w:tcW w:w="2880" w:type="dxa"/>
          </w:tcPr>
          <w:p w14:paraId="17B06D20" w14:textId="77777777" w:rsidR="00485C86" w:rsidRPr="00FF476C" w:rsidRDefault="00485C86" w:rsidP="00485C86">
            <w:pPr>
              <w:adjustRightInd w:val="0"/>
              <w:spacing w:line="204" w:lineRule="exact"/>
              <w:contextualSpacing/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</w:pPr>
            <w:r w:rsidRPr="00FF476C"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  <w:t>Rok</w:t>
            </w:r>
            <w:r w:rsidRPr="00FF476C">
              <w:rPr>
                <w:rFonts w:ascii="Times New Roman" w:eastAsia="Arial MT" w:hAnsi="Times New Roman" w:cs="Times New Roman"/>
                <w:b/>
                <w:spacing w:val="-3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  <w:t>korištenja</w:t>
            </w:r>
            <w:r w:rsidRPr="00FF476C">
              <w:rPr>
                <w:rFonts w:ascii="Times New Roman" w:eastAsia="Arial MT" w:hAnsi="Times New Roman" w:cs="Times New Roman"/>
                <w:b/>
                <w:spacing w:val="-6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  <w:t>kredita:</w:t>
            </w:r>
          </w:p>
        </w:tc>
        <w:tc>
          <w:tcPr>
            <w:tcW w:w="6420" w:type="dxa"/>
          </w:tcPr>
          <w:p w14:paraId="66572F8D" w14:textId="6EA5DF3A" w:rsidR="00485C86" w:rsidRPr="00FF476C" w:rsidRDefault="00485C86" w:rsidP="00485C86">
            <w:pPr>
              <w:adjustRightInd w:val="0"/>
              <w:spacing w:line="204" w:lineRule="exact"/>
              <w:contextualSpacing/>
              <w:rPr>
                <w:rFonts w:ascii="Times New Roman" w:eastAsia="Arial MT" w:hAnsi="Times New Roman" w:cs="Times New Roman"/>
                <w:w w:val="95"/>
                <w:sz w:val="24"/>
                <w:szCs w:val="24"/>
                <w:lang w:val="hr-HR"/>
              </w:rPr>
            </w:pPr>
            <w:r w:rsidRPr="00FF476C">
              <w:rPr>
                <w:rFonts w:ascii="Times New Roman" w:eastAsia="Arial MT" w:hAnsi="Times New Roman" w:cs="Times New Roman"/>
                <w:w w:val="95"/>
                <w:sz w:val="24"/>
                <w:szCs w:val="24"/>
                <w:lang w:val="hr-HR"/>
              </w:rPr>
              <w:t xml:space="preserve">do </w:t>
            </w:r>
            <w:r w:rsidR="00FF476C">
              <w:rPr>
                <w:rFonts w:ascii="Times New Roman" w:eastAsia="Arial MT" w:hAnsi="Times New Roman" w:cs="Times New Roman"/>
                <w:w w:val="95"/>
                <w:sz w:val="24"/>
                <w:szCs w:val="24"/>
                <w:lang w:val="hr-HR"/>
              </w:rPr>
              <w:t>15. svibnja</w:t>
            </w:r>
            <w:r w:rsidRPr="00FF476C">
              <w:rPr>
                <w:rFonts w:ascii="Times New Roman" w:eastAsia="Arial MT" w:hAnsi="Times New Roman" w:cs="Times New Roman"/>
                <w:w w:val="95"/>
                <w:sz w:val="24"/>
                <w:szCs w:val="24"/>
                <w:lang w:val="hr-HR"/>
              </w:rPr>
              <w:t xml:space="preserve"> 202</w:t>
            </w:r>
            <w:r w:rsidR="00FF476C">
              <w:rPr>
                <w:rFonts w:ascii="Times New Roman" w:eastAsia="Arial MT" w:hAnsi="Times New Roman" w:cs="Times New Roman"/>
                <w:w w:val="95"/>
                <w:sz w:val="24"/>
                <w:szCs w:val="24"/>
                <w:lang w:val="hr-HR"/>
              </w:rPr>
              <w:t>5</w:t>
            </w:r>
            <w:r w:rsidRPr="00FF476C">
              <w:rPr>
                <w:rFonts w:ascii="Times New Roman" w:eastAsia="Arial MT" w:hAnsi="Times New Roman" w:cs="Times New Roman"/>
                <w:w w:val="95"/>
                <w:sz w:val="24"/>
                <w:szCs w:val="24"/>
                <w:lang w:val="hr-HR"/>
              </w:rPr>
              <w:t>. godine</w:t>
            </w:r>
          </w:p>
        </w:tc>
      </w:tr>
      <w:tr w:rsidR="00485C86" w:rsidRPr="00FF476C" w14:paraId="5308C46B" w14:textId="77777777" w:rsidTr="00C96C38">
        <w:tc>
          <w:tcPr>
            <w:tcW w:w="2880" w:type="dxa"/>
          </w:tcPr>
          <w:p w14:paraId="4E7F2311" w14:textId="77777777" w:rsidR="00485C86" w:rsidRPr="00FF476C" w:rsidRDefault="00485C86" w:rsidP="00485C86">
            <w:pPr>
              <w:adjustRightInd w:val="0"/>
              <w:spacing w:line="204" w:lineRule="exact"/>
              <w:contextualSpacing/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</w:pPr>
            <w:r w:rsidRPr="00FF476C"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  <w:t>Poček:</w:t>
            </w:r>
          </w:p>
        </w:tc>
        <w:tc>
          <w:tcPr>
            <w:tcW w:w="6420" w:type="dxa"/>
          </w:tcPr>
          <w:p w14:paraId="7E711392" w14:textId="77777777" w:rsidR="00485C86" w:rsidRPr="00FF476C" w:rsidRDefault="00485C86" w:rsidP="00485C86">
            <w:pPr>
              <w:adjustRightInd w:val="0"/>
              <w:spacing w:line="204" w:lineRule="exact"/>
              <w:contextualSpacing/>
              <w:rPr>
                <w:rFonts w:ascii="Times New Roman" w:eastAsia="Arial MT" w:hAnsi="Times New Roman" w:cs="Times New Roman"/>
                <w:w w:val="95"/>
                <w:sz w:val="24"/>
                <w:szCs w:val="24"/>
                <w:lang w:val="hr-HR"/>
              </w:rPr>
            </w:pPr>
            <w:r w:rsidRPr="00FF476C">
              <w:rPr>
                <w:rFonts w:ascii="Times New Roman" w:eastAsia="Arial MT" w:hAnsi="Times New Roman" w:cs="Times New Roman"/>
                <w:w w:val="90"/>
                <w:sz w:val="24"/>
                <w:szCs w:val="24"/>
                <w:lang w:val="hr-HR"/>
              </w:rPr>
              <w:t>Bez</w:t>
            </w:r>
            <w:r w:rsidRPr="00FF476C">
              <w:rPr>
                <w:rFonts w:ascii="Times New Roman" w:eastAsia="Arial MT" w:hAnsi="Times New Roman" w:cs="Times New Roman"/>
                <w:spacing w:val="6"/>
                <w:w w:val="90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w w:val="90"/>
                <w:sz w:val="24"/>
                <w:szCs w:val="24"/>
                <w:lang w:val="hr-HR"/>
              </w:rPr>
              <w:t>počeka</w:t>
            </w:r>
          </w:p>
        </w:tc>
      </w:tr>
      <w:tr w:rsidR="00485C86" w:rsidRPr="00FF476C" w14:paraId="1CAF9A79" w14:textId="77777777" w:rsidTr="00C96C38">
        <w:tc>
          <w:tcPr>
            <w:tcW w:w="2880" w:type="dxa"/>
          </w:tcPr>
          <w:p w14:paraId="12642ACB" w14:textId="77777777" w:rsidR="00485C86" w:rsidRPr="00FF476C" w:rsidRDefault="00485C86" w:rsidP="00485C86">
            <w:pPr>
              <w:adjustRightInd w:val="0"/>
              <w:spacing w:line="204" w:lineRule="exact"/>
              <w:contextualSpacing/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</w:pPr>
            <w:r w:rsidRPr="00FF476C"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  <w:t>Način</w:t>
            </w:r>
            <w:r w:rsidRPr="00FF476C">
              <w:rPr>
                <w:rFonts w:ascii="Times New Roman" w:eastAsia="Arial MT" w:hAnsi="Times New Roman" w:cs="Times New Roman"/>
                <w:b/>
                <w:spacing w:val="-3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  <w:t>i</w:t>
            </w:r>
            <w:r w:rsidRPr="00FF476C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  <w:t>rok</w:t>
            </w:r>
            <w:r w:rsidRPr="00FF476C">
              <w:rPr>
                <w:rFonts w:ascii="Times New Roman" w:eastAsia="Arial MT" w:hAnsi="Times New Roman" w:cs="Times New Roman"/>
                <w:b/>
                <w:spacing w:val="-1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  <w:t>vraćanja</w:t>
            </w:r>
            <w:r w:rsidRPr="00FF476C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  <w:t>kredita:</w:t>
            </w:r>
          </w:p>
        </w:tc>
        <w:tc>
          <w:tcPr>
            <w:tcW w:w="6420" w:type="dxa"/>
          </w:tcPr>
          <w:p w14:paraId="27CA7322" w14:textId="77777777" w:rsidR="00485C86" w:rsidRPr="00FF476C" w:rsidRDefault="00485C86" w:rsidP="00485C86">
            <w:pPr>
              <w:adjustRightInd w:val="0"/>
              <w:spacing w:line="204" w:lineRule="exact"/>
              <w:contextualSpacing/>
              <w:rPr>
                <w:rFonts w:ascii="Times New Roman" w:eastAsia="Arial MT" w:hAnsi="Times New Roman" w:cs="Times New Roman"/>
                <w:w w:val="90"/>
                <w:sz w:val="24"/>
                <w:szCs w:val="24"/>
                <w:lang w:val="hr-HR"/>
              </w:rPr>
            </w:pPr>
            <w:r w:rsidRPr="00FF476C">
              <w:rPr>
                <w:rFonts w:ascii="Times New Roman" w:eastAsia="Arial MT" w:hAnsi="Times New Roman" w:cs="Times New Roman"/>
                <w:sz w:val="24"/>
                <w:szCs w:val="24"/>
                <w:lang w:val="hr-HR"/>
              </w:rPr>
              <w:t>kredit će se vratiti najkasnije do 12 mjeseci od dana odobrenja plasmana</w:t>
            </w:r>
          </w:p>
        </w:tc>
      </w:tr>
      <w:tr w:rsidR="00485C86" w:rsidRPr="00FF476C" w14:paraId="28E58AF4" w14:textId="77777777" w:rsidTr="00C96C38">
        <w:tc>
          <w:tcPr>
            <w:tcW w:w="2880" w:type="dxa"/>
          </w:tcPr>
          <w:p w14:paraId="17C5D380" w14:textId="77777777" w:rsidR="00485C86" w:rsidRPr="00FF476C" w:rsidRDefault="00485C86" w:rsidP="00485C86">
            <w:pPr>
              <w:adjustRightInd w:val="0"/>
              <w:spacing w:line="204" w:lineRule="exact"/>
              <w:contextualSpacing/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</w:pPr>
            <w:r w:rsidRPr="00FF476C"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  <w:t>Redovna</w:t>
            </w:r>
            <w:r w:rsidRPr="00FF476C">
              <w:rPr>
                <w:rFonts w:ascii="Times New Roman" w:eastAsia="Arial MT" w:hAnsi="Times New Roman" w:cs="Times New Roman"/>
                <w:b/>
                <w:spacing w:val="-3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  <w:t>kamatna</w:t>
            </w:r>
            <w:r w:rsidRPr="00FF476C">
              <w:rPr>
                <w:rFonts w:ascii="Times New Roman" w:eastAsia="Arial MT" w:hAnsi="Times New Roman" w:cs="Times New Roman"/>
                <w:b/>
                <w:spacing w:val="-1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  <w:t>stopa:</w:t>
            </w:r>
          </w:p>
        </w:tc>
        <w:tc>
          <w:tcPr>
            <w:tcW w:w="6420" w:type="dxa"/>
            <w:tcBorders>
              <w:top w:val="single" w:sz="4" w:space="0" w:color="000000"/>
              <w:bottom w:val="single" w:sz="4" w:space="0" w:color="000000"/>
            </w:tcBorders>
          </w:tcPr>
          <w:p w14:paraId="1391E884" w14:textId="77777777" w:rsidR="00FF476C" w:rsidRPr="00FF476C" w:rsidRDefault="00FF476C" w:rsidP="00FF476C">
            <w:pPr>
              <w:ind w:right="104" w:firstLine="31"/>
              <w:jc w:val="both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FF476C">
              <w:rPr>
                <w:rFonts w:ascii="Times New Roman" w:eastAsia="Arial MT" w:hAnsi="Times New Roman" w:cs="Times New Roman"/>
                <w:sz w:val="24"/>
                <w:szCs w:val="24"/>
              </w:rPr>
              <w:t>Redovna kamatna stopa: 3 mjesečni EURIBOR uvećan za fiksni dio u visini 1,15 postotnih poena (slovima: jedno cijelih i petnaest postotnih poena) godišnja, promjenjiva.</w:t>
            </w:r>
          </w:p>
          <w:p w14:paraId="5F91C8F9" w14:textId="77777777" w:rsidR="00FF476C" w:rsidRPr="00FF476C" w:rsidRDefault="00FF476C" w:rsidP="00FF476C">
            <w:pPr>
              <w:ind w:right="104" w:firstLine="31"/>
              <w:jc w:val="both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FF476C">
              <w:rPr>
                <w:rFonts w:ascii="Times New Roman" w:eastAsia="Arial MT" w:hAnsi="Times New Roman" w:cs="Times New Roman"/>
                <w:sz w:val="24"/>
                <w:szCs w:val="24"/>
              </w:rPr>
              <w:t>Kamata se obračunava i naplaćuje mjesečno na zadnji dan svakog mjeseca, odnosno o roku dospijeća kredita.</w:t>
            </w:r>
          </w:p>
          <w:p w14:paraId="62AD2EB4" w14:textId="76D7E690" w:rsidR="00485C86" w:rsidRPr="00FF476C" w:rsidRDefault="00FF476C" w:rsidP="00FF476C">
            <w:pPr>
              <w:adjustRightInd w:val="0"/>
              <w:spacing w:line="204" w:lineRule="exact"/>
              <w:contextualSpacing/>
              <w:rPr>
                <w:rFonts w:ascii="Times New Roman" w:eastAsia="Arial MT" w:hAnsi="Times New Roman" w:cs="Times New Roman"/>
                <w:sz w:val="24"/>
                <w:szCs w:val="24"/>
                <w:lang w:val="hr-HR"/>
              </w:rPr>
            </w:pPr>
            <w:r w:rsidRPr="00FF476C">
              <w:rPr>
                <w:rFonts w:ascii="Times New Roman" w:eastAsia="Arial MT" w:hAnsi="Times New Roman" w:cs="Times New Roman"/>
                <w:sz w:val="24"/>
                <w:szCs w:val="24"/>
              </w:rPr>
              <w:t>Zatezne kamate: obračunavaju se i naplaćuju u visini stope zakonskih zateznih kamata</w:t>
            </w:r>
          </w:p>
        </w:tc>
      </w:tr>
      <w:tr w:rsidR="00485C86" w:rsidRPr="00FF476C" w14:paraId="215B366B" w14:textId="77777777" w:rsidTr="00C96C38">
        <w:tc>
          <w:tcPr>
            <w:tcW w:w="2880" w:type="dxa"/>
          </w:tcPr>
          <w:p w14:paraId="09108B22" w14:textId="77777777" w:rsidR="00485C86" w:rsidRPr="00FF476C" w:rsidRDefault="00485C86" w:rsidP="00485C86">
            <w:pPr>
              <w:adjustRightInd w:val="0"/>
              <w:spacing w:line="204" w:lineRule="exact"/>
              <w:contextualSpacing/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</w:pPr>
            <w:r w:rsidRPr="00FF476C"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  <w:t>Naknada</w:t>
            </w:r>
            <w:r w:rsidRPr="00FF476C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  <w:t>za</w:t>
            </w:r>
            <w:r w:rsidRPr="00FF476C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  <w:t>obradu</w:t>
            </w:r>
            <w:r w:rsidRPr="00FF476C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  <w:t>zahtjeva:</w:t>
            </w:r>
          </w:p>
        </w:tc>
        <w:tc>
          <w:tcPr>
            <w:tcW w:w="6420" w:type="dxa"/>
            <w:tcBorders>
              <w:top w:val="single" w:sz="4" w:space="0" w:color="000000"/>
              <w:bottom w:val="single" w:sz="4" w:space="0" w:color="000000"/>
            </w:tcBorders>
          </w:tcPr>
          <w:p w14:paraId="5AB65EAF" w14:textId="63CB4478" w:rsidR="00485C86" w:rsidRPr="00FF476C" w:rsidRDefault="00485C86" w:rsidP="00485C86">
            <w:pPr>
              <w:ind w:right="104" w:firstLine="31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val="hr-HR"/>
              </w:rPr>
            </w:pPr>
            <w:r w:rsidRPr="00FF476C">
              <w:rPr>
                <w:rFonts w:ascii="Times New Roman" w:eastAsia="Arial MT" w:hAnsi="Times New Roman" w:cs="Times New Roman"/>
                <w:sz w:val="24"/>
                <w:szCs w:val="24"/>
                <w:lang w:val="hr-HR"/>
              </w:rPr>
              <w:t>0,30%</w:t>
            </w:r>
            <w:r w:rsidRPr="00FF476C">
              <w:rPr>
                <w:rFonts w:ascii="Times New Roman" w:eastAsia="Arial MT" w:hAnsi="Times New Roman" w:cs="Times New Roman"/>
                <w:spacing w:val="31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sz w:val="24"/>
                <w:szCs w:val="24"/>
                <w:lang w:val="hr-HR"/>
              </w:rPr>
              <w:t>od</w:t>
            </w:r>
            <w:r w:rsidRPr="00FF476C">
              <w:rPr>
                <w:rFonts w:ascii="Times New Roman" w:eastAsia="Arial MT" w:hAnsi="Times New Roman" w:cs="Times New Roman"/>
                <w:spacing w:val="30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sz w:val="24"/>
                <w:szCs w:val="24"/>
                <w:lang w:val="hr-HR"/>
              </w:rPr>
              <w:t>iznosa</w:t>
            </w:r>
            <w:r w:rsidRPr="00FF476C">
              <w:rPr>
                <w:rFonts w:ascii="Times New Roman" w:eastAsia="Arial MT" w:hAnsi="Times New Roman" w:cs="Times New Roman"/>
                <w:spacing w:val="30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sz w:val="24"/>
                <w:szCs w:val="24"/>
                <w:lang w:val="hr-HR"/>
              </w:rPr>
              <w:t>odobrenog</w:t>
            </w:r>
            <w:r w:rsidRPr="00FF476C">
              <w:rPr>
                <w:rFonts w:ascii="Times New Roman" w:eastAsia="Arial MT" w:hAnsi="Times New Roman" w:cs="Times New Roman"/>
                <w:spacing w:val="28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sz w:val="24"/>
                <w:szCs w:val="24"/>
                <w:lang w:val="hr-HR"/>
              </w:rPr>
              <w:t>kredita,</w:t>
            </w:r>
            <w:r w:rsidRPr="00FF476C">
              <w:rPr>
                <w:rFonts w:ascii="Times New Roman" w:eastAsia="Arial MT" w:hAnsi="Times New Roman" w:cs="Times New Roman"/>
                <w:spacing w:val="28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sz w:val="24"/>
                <w:szCs w:val="24"/>
                <w:lang w:val="hr-HR"/>
              </w:rPr>
              <w:t>min.</w:t>
            </w:r>
            <w:r w:rsidRPr="00FF476C">
              <w:rPr>
                <w:rFonts w:ascii="Times New Roman" w:eastAsia="Arial MT" w:hAnsi="Times New Roman" w:cs="Times New Roman"/>
                <w:spacing w:val="30"/>
                <w:sz w:val="24"/>
                <w:szCs w:val="24"/>
                <w:lang w:val="hr-HR"/>
              </w:rPr>
              <w:t xml:space="preserve"> </w:t>
            </w:r>
            <w:r w:rsidR="00AD6330" w:rsidRPr="00FF476C">
              <w:rPr>
                <w:rFonts w:ascii="Times New Roman" w:eastAsia="Arial MT" w:hAnsi="Times New Roman" w:cs="Times New Roman"/>
                <w:spacing w:val="30"/>
                <w:sz w:val="24"/>
                <w:szCs w:val="24"/>
                <w:lang w:val="hr-HR"/>
              </w:rPr>
              <w:t>66</w:t>
            </w:r>
            <w:r w:rsidRPr="00FF476C">
              <w:rPr>
                <w:rFonts w:ascii="Times New Roman" w:eastAsia="Arial MT" w:hAnsi="Times New Roman" w:cs="Times New Roman"/>
                <w:sz w:val="24"/>
                <w:szCs w:val="24"/>
                <w:lang w:val="hr-HR"/>
              </w:rPr>
              <w:t>,</w:t>
            </w:r>
            <w:r w:rsidR="00AD6330" w:rsidRPr="00FF476C">
              <w:rPr>
                <w:rFonts w:ascii="Times New Roman" w:eastAsia="Arial MT" w:hAnsi="Times New Roman" w:cs="Times New Roman"/>
                <w:sz w:val="24"/>
                <w:szCs w:val="24"/>
                <w:lang w:val="hr-HR"/>
              </w:rPr>
              <w:t>36</w:t>
            </w:r>
            <w:r w:rsidRPr="00FF476C">
              <w:rPr>
                <w:rFonts w:ascii="Times New Roman" w:eastAsia="Arial MT" w:hAnsi="Times New Roman" w:cs="Times New Roman"/>
                <w:spacing w:val="30"/>
                <w:sz w:val="24"/>
                <w:szCs w:val="24"/>
                <w:lang w:val="hr-HR"/>
              </w:rPr>
              <w:t xml:space="preserve"> </w:t>
            </w:r>
            <w:r w:rsidR="00AD6330" w:rsidRPr="00FF476C">
              <w:rPr>
                <w:rFonts w:ascii="Times New Roman" w:eastAsia="Arial MT" w:hAnsi="Times New Roman" w:cs="Times New Roman"/>
                <w:sz w:val="24"/>
                <w:szCs w:val="24"/>
                <w:lang w:val="hr-HR"/>
              </w:rPr>
              <w:t>eura</w:t>
            </w:r>
            <w:r w:rsidRPr="00FF476C">
              <w:rPr>
                <w:rFonts w:ascii="Times New Roman" w:eastAsia="Arial MT" w:hAnsi="Times New Roman" w:cs="Times New Roman"/>
                <w:sz w:val="24"/>
                <w:szCs w:val="24"/>
                <w:lang w:val="hr-HR"/>
              </w:rPr>
              <w:t>,</w:t>
            </w:r>
            <w:r w:rsidRPr="00FF476C">
              <w:rPr>
                <w:rFonts w:ascii="Times New Roman" w:eastAsia="Arial MT" w:hAnsi="Times New Roman" w:cs="Times New Roman"/>
                <w:spacing w:val="-53"/>
                <w:sz w:val="24"/>
                <w:szCs w:val="24"/>
                <w:lang w:val="hr-HR"/>
              </w:rPr>
              <w:t xml:space="preserve"> </w:t>
            </w:r>
            <w:r w:rsidRPr="00FF476C">
              <w:rPr>
                <w:rFonts w:ascii="Times New Roman" w:eastAsia="Arial MT" w:hAnsi="Times New Roman" w:cs="Times New Roman"/>
                <w:sz w:val="24"/>
                <w:szCs w:val="24"/>
                <w:lang w:val="hr-HR"/>
              </w:rPr>
              <w:t>jednokratno</w:t>
            </w:r>
          </w:p>
        </w:tc>
      </w:tr>
      <w:tr w:rsidR="00485C86" w:rsidRPr="00FF476C" w14:paraId="59062D7A" w14:textId="77777777" w:rsidTr="00C96C38">
        <w:tc>
          <w:tcPr>
            <w:tcW w:w="2880" w:type="dxa"/>
          </w:tcPr>
          <w:p w14:paraId="43436E5A" w14:textId="77777777" w:rsidR="00485C86" w:rsidRPr="00FF476C" w:rsidRDefault="00485C86" w:rsidP="00485C86">
            <w:pPr>
              <w:adjustRightInd w:val="0"/>
              <w:spacing w:line="204" w:lineRule="exact"/>
              <w:contextualSpacing/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</w:pPr>
            <w:r w:rsidRPr="00FF476C">
              <w:rPr>
                <w:rFonts w:ascii="Times New Roman" w:eastAsia="Arial MT" w:hAnsi="Times New Roman" w:cs="Times New Roman"/>
                <w:b/>
                <w:sz w:val="24"/>
                <w:szCs w:val="24"/>
                <w:lang w:val="hr-HR"/>
              </w:rPr>
              <w:t>Instrumenti osiguranja naplate:</w:t>
            </w:r>
          </w:p>
        </w:tc>
        <w:tc>
          <w:tcPr>
            <w:tcW w:w="6420" w:type="dxa"/>
            <w:tcBorders>
              <w:top w:val="single" w:sz="4" w:space="0" w:color="000000"/>
              <w:bottom w:val="single" w:sz="4" w:space="0" w:color="000000"/>
            </w:tcBorders>
          </w:tcPr>
          <w:p w14:paraId="0CED577A" w14:textId="51B0AF43" w:rsidR="00485C86" w:rsidRPr="00FF476C" w:rsidRDefault="00485C86" w:rsidP="00485C86">
            <w:pPr>
              <w:ind w:right="104" w:firstLine="31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val="hr-HR"/>
              </w:rPr>
            </w:pPr>
            <w:r w:rsidRPr="00FF476C">
              <w:rPr>
                <w:rFonts w:ascii="Times New Roman" w:eastAsia="Arial MT" w:hAnsi="Times New Roman" w:cs="Times New Roman"/>
                <w:sz w:val="24"/>
                <w:szCs w:val="24"/>
                <w:lang w:val="hr-HR"/>
              </w:rPr>
              <w:t>1 obična zadužnica na iznos plasmana</w:t>
            </w:r>
          </w:p>
          <w:p w14:paraId="0841A290" w14:textId="02407EC0" w:rsidR="00485C86" w:rsidRPr="00FF476C" w:rsidRDefault="00485C86" w:rsidP="00485C86">
            <w:pPr>
              <w:ind w:right="104" w:firstLine="31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val="hr-HR"/>
              </w:rPr>
            </w:pPr>
            <w:r w:rsidRPr="00FF476C">
              <w:rPr>
                <w:rFonts w:ascii="Times New Roman" w:eastAsia="Arial MT" w:hAnsi="Times New Roman" w:cs="Times New Roman"/>
                <w:sz w:val="24"/>
                <w:szCs w:val="24"/>
                <w:lang w:val="hr-HR"/>
              </w:rPr>
              <w:t>1 bjanko zadužnica na iznos do 75.000,00 eur</w:t>
            </w:r>
          </w:p>
        </w:tc>
      </w:tr>
    </w:tbl>
    <w:p w14:paraId="5D0B7FE1" w14:textId="77777777" w:rsidR="00485C86" w:rsidRPr="00FF476C" w:rsidRDefault="00485C86" w:rsidP="00485C86">
      <w:pPr>
        <w:adjustRightInd w:val="0"/>
        <w:spacing w:after="0" w:line="204" w:lineRule="exact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D35BD6C" w14:textId="77777777" w:rsidR="00485C86" w:rsidRPr="00485C86" w:rsidRDefault="00485C86" w:rsidP="00485C86">
      <w:pPr>
        <w:widowControl w:val="0"/>
        <w:autoSpaceDE w:val="0"/>
        <w:autoSpaceDN w:val="0"/>
        <w:adjustRightInd w:val="0"/>
        <w:spacing w:after="0" w:line="204" w:lineRule="exact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1B0942E" w14:textId="77777777" w:rsidR="00485C86" w:rsidRPr="00485C86" w:rsidRDefault="00485C86" w:rsidP="00485C86">
      <w:pPr>
        <w:widowControl w:val="0"/>
        <w:autoSpaceDE w:val="0"/>
        <w:autoSpaceDN w:val="0"/>
        <w:adjustRightInd w:val="0"/>
        <w:spacing w:after="0" w:line="204" w:lineRule="exact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485C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Članak 3.</w:t>
      </w:r>
    </w:p>
    <w:p w14:paraId="28765A6B" w14:textId="77777777" w:rsidR="00485C86" w:rsidRPr="00485C86" w:rsidRDefault="00485C86" w:rsidP="00485C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9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485C86">
        <w:rPr>
          <w:rFonts w:ascii="Times New Roman" w:eastAsia="Arial MT" w:hAnsi="Times New Roman" w:cs="Times New Roman"/>
          <w:w w:val="95"/>
          <w:kern w:val="0"/>
          <w:sz w:val="24"/>
          <w:szCs w:val="24"/>
          <w14:ligatures w14:val="none"/>
        </w:rPr>
        <w:t>Kratkoročni kredit će se koristiti za održavanje tekuće likvidnosti Proračuna</w:t>
      </w:r>
      <w:r w:rsidRPr="00485C86">
        <w:rPr>
          <w:rFonts w:ascii="Times New Roman" w:eastAsia="Arial MT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Općine Vladislavci</w:t>
      </w:r>
    </w:p>
    <w:p w14:paraId="253E7CED" w14:textId="77777777" w:rsidR="00485C86" w:rsidRPr="00485C86" w:rsidRDefault="00485C86" w:rsidP="00485C86">
      <w:pPr>
        <w:widowControl w:val="0"/>
        <w:autoSpaceDE w:val="0"/>
        <w:autoSpaceDN w:val="0"/>
        <w:spacing w:after="0" w:line="240" w:lineRule="auto"/>
        <w:ind w:left="285" w:right="285"/>
        <w:jc w:val="center"/>
        <w:rPr>
          <w:rFonts w:ascii="Times New Roman" w:eastAsia="Arial MT" w:hAnsi="Times New Roman" w:cs="Times New Roman"/>
          <w:b/>
          <w:bCs/>
          <w:kern w:val="0"/>
          <w:sz w:val="24"/>
          <w:szCs w:val="24"/>
          <w14:ligatures w14:val="none"/>
        </w:rPr>
      </w:pPr>
      <w:r w:rsidRPr="00485C86">
        <w:rPr>
          <w:rFonts w:ascii="Times New Roman" w:eastAsia="Arial MT" w:hAnsi="Times New Roman" w:cs="Times New Roman"/>
          <w:b/>
          <w:bCs/>
          <w:w w:val="95"/>
          <w:kern w:val="0"/>
          <w:sz w:val="24"/>
          <w:szCs w:val="24"/>
          <w14:ligatures w14:val="none"/>
        </w:rPr>
        <w:t>Članak</w:t>
      </w:r>
      <w:r w:rsidRPr="00485C86">
        <w:rPr>
          <w:rFonts w:ascii="Times New Roman" w:eastAsia="Arial MT" w:hAnsi="Times New Roman" w:cs="Times New Roman"/>
          <w:b/>
          <w:bCs/>
          <w:spacing w:val="-6"/>
          <w:w w:val="95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b/>
          <w:bCs/>
          <w:w w:val="95"/>
          <w:kern w:val="0"/>
          <w:sz w:val="24"/>
          <w:szCs w:val="24"/>
          <w14:ligatures w14:val="none"/>
        </w:rPr>
        <w:t>4.</w:t>
      </w:r>
    </w:p>
    <w:p w14:paraId="694B5E78" w14:textId="77777777" w:rsidR="00485C86" w:rsidRPr="00485C86" w:rsidRDefault="00485C86" w:rsidP="00485C8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7421A6" w14:textId="7F4B4451" w:rsidR="00485C86" w:rsidRPr="00485C86" w:rsidRDefault="00485C86" w:rsidP="00485C86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2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Ovlašćuje se općinski načelnik Općine Vladislavci  za zaključivanje Ugovora o</w:t>
      </w:r>
      <w:r w:rsidRPr="00485C86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kratkoročnom</w:t>
      </w:r>
      <w:r w:rsidRPr="00485C86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kreditu</w:t>
      </w:r>
      <w:r w:rsidRPr="00485C86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–</w:t>
      </w:r>
      <w:r w:rsidRPr="00485C86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dopuštenom</w:t>
      </w:r>
      <w:r w:rsidRPr="00485C86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prekoračenju</w:t>
      </w:r>
      <w:r w:rsidRPr="00485C86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po</w:t>
      </w:r>
      <w:r w:rsidRPr="00485C86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žiro</w:t>
      </w:r>
      <w:r w:rsidRPr="00485C86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računu</w:t>
      </w:r>
      <w:r w:rsidRPr="00485C86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s</w:t>
      </w:r>
      <w:r w:rsidRPr="00485C86"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Hrvatskom poštanskom bankom d.d. Zagreb.</w:t>
      </w:r>
    </w:p>
    <w:p w14:paraId="679DDE43" w14:textId="77777777" w:rsidR="00485C86" w:rsidRPr="00485C86" w:rsidRDefault="00485C86" w:rsidP="00485C86">
      <w:pPr>
        <w:widowControl w:val="0"/>
        <w:autoSpaceDE w:val="0"/>
        <w:autoSpaceDN w:val="0"/>
        <w:spacing w:before="78" w:after="0" w:line="240" w:lineRule="auto"/>
        <w:ind w:left="285" w:right="285"/>
        <w:jc w:val="center"/>
        <w:rPr>
          <w:rFonts w:ascii="Times New Roman" w:eastAsia="Arial MT" w:hAnsi="Times New Roman" w:cs="Times New Roman"/>
          <w:b/>
          <w:bCs/>
          <w:kern w:val="0"/>
          <w:sz w:val="24"/>
          <w:szCs w:val="24"/>
          <w14:ligatures w14:val="none"/>
        </w:rPr>
      </w:pPr>
      <w:r w:rsidRPr="00485C86">
        <w:rPr>
          <w:rFonts w:ascii="Times New Roman" w:eastAsia="Arial MT" w:hAnsi="Times New Roman" w:cs="Times New Roman"/>
          <w:b/>
          <w:bCs/>
          <w:w w:val="95"/>
          <w:kern w:val="0"/>
          <w:sz w:val="24"/>
          <w:szCs w:val="24"/>
          <w14:ligatures w14:val="none"/>
        </w:rPr>
        <w:t>Članak</w:t>
      </w:r>
      <w:r w:rsidRPr="00485C86">
        <w:rPr>
          <w:rFonts w:ascii="Times New Roman" w:eastAsia="Arial MT" w:hAnsi="Times New Roman" w:cs="Times New Roman"/>
          <w:b/>
          <w:bCs/>
          <w:spacing w:val="-6"/>
          <w:w w:val="95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b/>
          <w:bCs/>
          <w:w w:val="95"/>
          <w:kern w:val="0"/>
          <w:sz w:val="24"/>
          <w:szCs w:val="24"/>
          <w14:ligatures w14:val="none"/>
        </w:rPr>
        <w:t>5.</w:t>
      </w:r>
    </w:p>
    <w:p w14:paraId="65FB56F8" w14:textId="4F893349" w:rsidR="00485C86" w:rsidRPr="00485C86" w:rsidRDefault="00485C86" w:rsidP="008C515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Ova</w:t>
      </w:r>
      <w:r w:rsidRPr="00485C86">
        <w:rPr>
          <w:rFonts w:ascii="Times New Roman" w:eastAsia="Arial MT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Odluka</w:t>
      </w:r>
      <w:r w:rsidRPr="00485C86">
        <w:rPr>
          <w:rFonts w:ascii="Times New Roman" w:eastAsia="Arial MT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stupa</w:t>
      </w:r>
      <w:r w:rsidRPr="00485C86">
        <w:rPr>
          <w:rFonts w:ascii="Times New Roman" w:eastAsia="Arial MT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na</w:t>
      </w:r>
      <w:r w:rsidRPr="00485C86">
        <w:rPr>
          <w:rFonts w:ascii="Times New Roman" w:eastAsia="Arial MT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snagu</w:t>
      </w:r>
      <w:r w:rsidRPr="00485C86">
        <w:rPr>
          <w:rFonts w:ascii="Times New Roman" w:eastAsia="Arial MT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danom</w:t>
      </w:r>
      <w:r w:rsidRPr="00485C86">
        <w:rPr>
          <w:rFonts w:ascii="Times New Roman" w:eastAsia="Arial MT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donošenja,</w:t>
      </w:r>
      <w:r w:rsidRPr="00485C86">
        <w:rPr>
          <w:rFonts w:ascii="Times New Roman" w:eastAsia="Arial MT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a</w:t>
      </w:r>
      <w:r w:rsidRPr="00485C86">
        <w:rPr>
          <w:rFonts w:ascii="Times New Roman" w:eastAsia="Arial MT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objaviti</w:t>
      </w:r>
      <w:r w:rsidRPr="00485C86">
        <w:rPr>
          <w:rFonts w:ascii="Times New Roman" w:eastAsia="Arial MT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će</w:t>
      </w:r>
      <w:r w:rsidRPr="00485C86">
        <w:rPr>
          <w:rFonts w:ascii="Times New Roman" w:eastAsia="Arial MT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se</w:t>
      </w:r>
      <w:r w:rsidRPr="00485C86">
        <w:rPr>
          <w:rFonts w:ascii="Times New Roman" w:eastAsia="Arial MT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u</w:t>
      </w:r>
      <w:r w:rsidRPr="00485C86">
        <w:rPr>
          <w:rFonts w:ascii="Times New Roman" w:eastAsia="Arial MT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„Službenom</w:t>
      </w:r>
      <w:r w:rsidR="008C515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spacing w:val="-64"/>
          <w:kern w:val="0"/>
          <w:sz w:val="24"/>
          <w:szCs w:val="24"/>
          <w14:ligatures w14:val="none"/>
        </w:rPr>
        <w:t xml:space="preserve"> 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glasniku</w:t>
      </w:r>
      <w:r w:rsidR="008C515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“</w:t>
      </w:r>
      <w:r w:rsidRPr="00485C86"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85C8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Općine Vladislavci“.</w:t>
      </w:r>
    </w:p>
    <w:p w14:paraId="76445543" w14:textId="77777777" w:rsidR="00485C86" w:rsidRPr="00485C86" w:rsidRDefault="00485C86" w:rsidP="00485C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687DE22" w14:textId="7B879A02" w:rsidR="00485C86" w:rsidRPr="00485C86" w:rsidRDefault="00485C86" w:rsidP="00485C86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</w:pPr>
      <w:r w:rsidRPr="00485C86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KLASA: 450-03/2</w:t>
      </w:r>
      <w:r w:rsidR="00BA1C67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4</w:t>
      </w:r>
      <w:r w:rsidRPr="00485C86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-01/01</w:t>
      </w:r>
    </w:p>
    <w:p w14:paraId="15617C52" w14:textId="65CDC0EE" w:rsidR="00485C86" w:rsidRPr="00485C86" w:rsidRDefault="00485C86" w:rsidP="00485C86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</w:pPr>
      <w:r w:rsidRPr="00485C86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URBROJ: 2158-41-01-2</w:t>
      </w:r>
      <w:r w:rsidR="00BA1C67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4</w:t>
      </w:r>
      <w:r w:rsidRPr="00485C86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-02</w:t>
      </w:r>
    </w:p>
    <w:p w14:paraId="57EB1195" w14:textId="5C79C15A" w:rsidR="00485C86" w:rsidRPr="00485C86" w:rsidRDefault="00485C86" w:rsidP="00485C86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</w:pPr>
      <w:r w:rsidRPr="00485C86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Vladislavci, </w:t>
      </w:r>
      <w:r w:rsidR="001264DB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08. svibnja</w:t>
      </w:r>
      <w:r w:rsidRPr="00485C86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 202</w:t>
      </w:r>
      <w:r w:rsidR="00BA1C67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4</w:t>
      </w:r>
      <w:r w:rsidRPr="00485C86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. </w:t>
      </w:r>
    </w:p>
    <w:p w14:paraId="700E5904" w14:textId="77777777" w:rsidR="00485C86" w:rsidRPr="00485C86" w:rsidRDefault="00485C86" w:rsidP="00485C86">
      <w:pPr>
        <w:widowControl w:val="0"/>
        <w:autoSpaceDE w:val="0"/>
        <w:autoSpaceDN w:val="0"/>
        <w:adjustRightInd w:val="0"/>
        <w:spacing w:after="0" w:line="276" w:lineRule="auto"/>
        <w:ind w:left="637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85C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PREDSJEDNIK</w:t>
      </w:r>
    </w:p>
    <w:p w14:paraId="7179F120" w14:textId="77777777" w:rsidR="00485C86" w:rsidRPr="00485C86" w:rsidRDefault="00485C86" w:rsidP="00485C86">
      <w:pPr>
        <w:widowControl w:val="0"/>
        <w:autoSpaceDE w:val="0"/>
        <w:autoSpaceDN w:val="0"/>
        <w:adjustRightInd w:val="0"/>
        <w:spacing w:after="0" w:line="276" w:lineRule="auto"/>
        <w:ind w:left="637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85C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OPĆINSKOG VIJEĆA</w:t>
      </w:r>
    </w:p>
    <w:p w14:paraId="75D9556D" w14:textId="3CDA8E71" w:rsidR="00412054" w:rsidRDefault="00485C86" w:rsidP="00BA1C67">
      <w:pPr>
        <w:widowControl w:val="0"/>
        <w:autoSpaceDE w:val="0"/>
        <w:autoSpaceDN w:val="0"/>
        <w:adjustRightInd w:val="0"/>
        <w:spacing w:after="0" w:line="276" w:lineRule="auto"/>
        <w:ind w:left="6379"/>
        <w:jc w:val="center"/>
      </w:pPr>
      <w:r w:rsidRPr="00485C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Krunoslav Morović</w:t>
      </w:r>
      <w:bookmarkEnd w:id="0"/>
      <w:r w:rsidR="00A01F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v. r.</w:t>
      </w:r>
    </w:p>
    <w:sectPr w:rsidR="00412054" w:rsidSect="00811E5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03D"/>
    <w:multiLevelType w:val="hybridMultilevel"/>
    <w:tmpl w:val="4E0A25BC"/>
    <w:lvl w:ilvl="0" w:tplc="D12C2658">
      <w:start w:val="1"/>
      <w:numFmt w:val="decimal"/>
      <w:lvlText w:val="%1)"/>
      <w:lvlJc w:val="left"/>
      <w:pPr>
        <w:ind w:left="118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3" w:hanging="360"/>
      </w:pPr>
    </w:lvl>
    <w:lvl w:ilvl="2" w:tplc="041A001B" w:tentative="1">
      <w:start w:val="1"/>
      <w:numFmt w:val="lowerRoman"/>
      <w:lvlText w:val="%3."/>
      <w:lvlJc w:val="right"/>
      <w:pPr>
        <w:ind w:left="2623" w:hanging="180"/>
      </w:pPr>
    </w:lvl>
    <w:lvl w:ilvl="3" w:tplc="041A000F" w:tentative="1">
      <w:start w:val="1"/>
      <w:numFmt w:val="decimal"/>
      <w:lvlText w:val="%4."/>
      <w:lvlJc w:val="left"/>
      <w:pPr>
        <w:ind w:left="3343" w:hanging="360"/>
      </w:pPr>
    </w:lvl>
    <w:lvl w:ilvl="4" w:tplc="041A0019" w:tentative="1">
      <w:start w:val="1"/>
      <w:numFmt w:val="lowerLetter"/>
      <w:lvlText w:val="%5."/>
      <w:lvlJc w:val="left"/>
      <w:pPr>
        <w:ind w:left="4063" w:hanging="360"/>
      </w:pPr>
    </w:lvl>
    <w:lvl w:ilvl="5" w:tplc="041A001B" w:tentative="1">
      <w:start w:val="1"/>
      <w:numFmt w:val="lowerRoman"/>
      <w:lvlText w:val="%6."/>
      <w:lvlJc w:val="right"/>
      <w:pPr>
        <w:ind w:left="4783" w:hanging="180"/>
      </w:pPr>
    </w:lvl>
    <w:lvl w:ilvl="6" w:tplc="041A000F" w:tentative="1">
      <w:start w:val="1"/>
      <w:numFmt w:val="decimal"/>
      <w:lvlText w:val="%7."/>
      <w:lvlJc w:val="left"/>
      <w:pPr>
        <w:ind w:left="5503" w:hanging="360"/>
      </w:pPr>
    </w:lvl>
    <w:lvl w:ilvl="7" w:tplc="041A0019" w:tentative="1">
      <w:start w:val="1"/>
      <w:numFmt w:val="lowerLetter"/>
      <w:lvlText w:val="%8."/>
      <w:lvlJc w:val="left"/>
      <w:pPr>
        <w:ind w:left="6223" w:hanging="360"/>
      </w:pPr>
    </w:lvl>
    <w:lvl w:ilvl="8" w:tplc="041A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" w15:restartNumberingAfterBreak="0">
    <w:nsid w:val="24F87465"/>
    <w:multiLevelType w:val="hybridMultilevel"/>
    <w:tmpl w:val="466044C0"/>
    <w:lvl w:ilvl="0" w:tplc="95B269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EC35870"/>
    <w:multiLevelType w:val="hybridMultilevel"/>
    <w:tmpl w:val="1C008998"/>
    <w:lvl w:ilvl="0" w:tplc="147657AA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Calibri"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4FE1387D"/>
    <w:multiLevelType w:val="hybridMultilevel"/>
    <w:tmpl w:val="F1D2C758"/>
    <w:lvl w:ilvl="0" w:tplc="DE146062">
      <w:start w:val="1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6BD40184"/>
    <w:multiLevelType w:val="hybridMultilevel"/>
    <w:tmpl w:val="404AC652"/>
    <w:lvl w:ilvl="0" w:tplc="A01A9082">
      <w:start w:val="1"/>
      <w:numFmt w:val="decimal"/>
      <w:lvlText w:val="(%1)"/>
      <w:lvlJc w:val="left"/>
      <w:pPr>
        <w:ind w:left="1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5" w:hanging="360"/>
      </w:pPr>
    </w:lvl>
    <w:lvl w:ilvl="2" w:tplc="041A001B" w:tentative="1">
      <w:start w:val="1"/>
      <w:numFmt w:val="lowerRoman"/>
      <w:lvlText w:val="%3."/>
      <w:lvlJc w:val="right"/>
      <w:pPr>
        <w:ind w:left="2635" w:hanging="180"/>
      </w:pPr>
    </w:lvl>
    <w:lvl w:ilvl="3" w:tplc="041A000F" w:tentative="1">
      <w:start w:val="1"/>
      <w:numFmt w:val="decimal"/>
      <w:lvlText w:val="%4."/>
      <w:lvlJc w:val="left"/>
      <w:pPr>
        <w:ind w:left="3355" w:hanging="360"/>
      </w:pPr>
    </w:lvl>
    <w:lvl w:ilvl="4" w:tplc="041A0019" w:tentative="1">
      <w:start w:val="1"/>
      <w:numFmt w:val="lowerLetter"/>
      <w:lvlText w:val="%5."/>
      <w:lvlJc w:val="left"/>
      <w:pPr>
        <w:ind w:left="4075" w:hanging="360"/>
      </w:pPr>
    </w:lvl>
    <w:lvl w:ilvl="5" w:tplc="041A001B" w:tentative="1">
      <w:start w:val="1"/>
      <w:numFmt w:val="lowerRoman"/>
      <w:lvlText w:val="%6."/>
      <w:lvlJc w:val="right"/>
      <w:pPr>
        <w:ind w:left="4795" w:hanging="180"/>
      </w:pPr>
    </w:lvl>
    <w:lvl w:ilvl="6" w:tplc="041A000F" w:tentative="1">
      <w:start w:val="1"/>
      <w:numFmt w:val="decimal"/>
      <w:lvlText w:val="%7."/>
      <w:lvlJc w:val="left"/>
      <w:pPr>
        <w:ind w:left="5515" w:hanging="360"/>
      </w:pPr>
    </w:lvl>
    <w:lvl w:ilvl="7" w:tplc="041A0019" w:tentative="1">
      <w:start w:val="1"/>
      <w:numFmt w:val="lowerLetter"/>
      <w:lvlText w:val="%8."/>
      <w:lvlJc w:val="left"/>
      <w:pPr>
        <w:ind w:left="6235" w:hanging="360"/>
      </w:pPr>
    </w:lvl>
    <w:lvl w:ilvl="8" w:tplc="041A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" w15:restartNumberingAfterBreak="0">
    <w:nsid w:val="7DB9006E"/>
    <w:multiLevelType w:val="hybridMultilevel"/>
    <w:tmpl w:val="594290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357956">
    <w:abstractNumId w:val="1"/>
  </w:num>
  <w:num w:numId="2" w16cid:durableId="1270502182">
    <w:abstractNumId w:val="4"/>
  </w:num>
  <w:num w:numId="3" w16cid:durableId="638537187">
    <w:abstractNumId w:val="2"/>
  </w:num>
  <w:num w:numId="4" w16cid:durableId="1095978891">
    <w:abstractNumId w:val="3"/>
  </w:num>
  <w:num w:numId="5" w16cid:durableId="1058867598">
    <w:abstractNumId w:val="0"/>
  </w:num>
  <w:num w:numId="6" w16cid:durableId="191193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86"/>
    <w:rsid w:val="00074574"/>
    <w:rsid w:val="001264DB"/>
    <w:rsid w:val="00412054"/>
    <w:rsid w:val="00485C86"/>
    <w:rsid w:val="00567C6C"/>
    <w:rsid w:val="00644B3E"/>
    <w:rsid w:val="00811E52"/>
    <w:rsid w:val="008C515A"/>
    <w:rsid w:val="008E384E"/>
    <w:rsid w:val="009277F7"/>
    <w:rsid w:val="00A01FD9"/>
    <w:rsid w:val="00AD6330"/>
    <w:rsid w:val="00BA1C67"/>
    <w:rsid w:val="00BB775B"/>
    <w:rsid w:val="00BD0D3D"/>
    <w:rsid w:val="00BE1B9D"/>
    <w:rsid w:val="00D83E83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58F6"/>
  <w15:chartTrackingRefBased/>
  <w15:docId w15:val="{07842047-15AF-48A1-9C96-64A977EF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485C8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85C86"/>
  </w:style>
  <w:style w:type="table" w:styleId="Reetkatablice">
    <w:name w:val="Table Grid"/>
    <w:basedOn w:val="Obinatablica"/>
    <w:uiPriority w:val="39"/>
    <w:rsid w:val="00485C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8</cp:revision>
  <cp:lastPrinted>2023-04-05T06:46:00Z</cp:lastPrinted>
  <dcterms:created xsi:type="dcterms:W3CDTF">2024-05-03T08:14:00Z</dcterms:created>
  <dcterms:modified xsi:type="dcterms:W3CDTF">2024-05-09T05:59:00Z</dcterms:modified>
</cp:coreProperties>
</file>