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CE801" w14:textId="56DD74F3" w:rsidR="00F62009" w:rsidRDefault="00000000">
      <w:pPr>
        <w:jc w:val="both"/>
      </w:pPr>
      <w:r>
        <w:t xml:space="preserve">Na temelju članka 17. stavak 1. Zakona o sustavu civilne zaštite (Narodne novine </w:t>
      </w:r>
      <w:r w:rsidR="0059517F">
        <w:t xml:space="preserve"> </w:t>
      </w:r>
      <w:r>
        <w:t>82/15,  118/18 31/20</w:t>
      </w:r>
      <w:r w:rsidR="0059517F">
        <w:t xml:space="preserve">, </w:t>
      </w:r>
      <w:r>
        <w:t>20/21</w:t>
      </w:r>
      <w:r w:rsidR="0059517F">
        <w:t xml:space="preserve"> i 14/22</w:t>
      </w:r>
      <w:r>
        <w:t xml:space="preserve">) i članka 30. Statuta općine Vladislavci („Službeni glasnik“ Općine Vladislavci br. 3/13, 3/17, 2/18, 4/20, 5/20 – pročišćeni tekst, 8/20, 2/21 i 3/21- pročišćeni tekst) Općinsko vijeće općine Vladislavci na svojoj </w:t>
      </w:r>
      <w:r w:rsidR="002E3219">
        <w:t>45</w:t>
      </w:r>
      <w:r>
        <w:t xml:space="preserve">. sjednici održanoj dana </w:t>
      </w:r>
      <w:r w:rsidR="002E3219">
        <w:t>26</w:t>
      </w:r>
      <w:r>
        <w:t xml:space="preserve">.  </w:t>
      </w:r>
      <w:r w:rsidR="00683D81">
        <w:t>studenoga</w:t>
      </w:r>
      <w:r>
        <w:t xml:space="preserve"> </w:t>
      </w:r>
      <w:r w:rsidR="00683D81">
        <w:t>2024</w:t>
      </w:r>
      <w:r>
        <w:t xml:space="preserve">. godine, donosi </w:t>
      </w:r>
    </w:p>
    <w:p w14:paraId="6ABCBC84" w14:textId="77777777" w:rsidR="00F62009" w:rsidRDefault="00000000">
      <w:pPr>
        <w:jc w:val="center"/>
        <w:rPr>
          <w:b/>
        </w:rPr>
      </w:pPr>
      <w:r>
        <w:rPr>
          <w:b/>
        </w:rPr>
        <w:t xml:space="preserve">GODIŠNJI PLAN </w:t>
      </w:r>
    </w:p>
    <w:p w14:paraId="65990D09" w14:textId="57181214" w:rsidR="00F62009" w:rsidRDefault="00000000">
      <w:pPr>
        <w:jc w:val="center"/>
        <w:rPr>
          <w:b/>
        </w:rPr>
      </w:pPr>
      <w:r>
        <w:rPr>
          <w:b/>
        </w:rPr>
        <w:t xml:space="preserve">razvoja sustava civilne zaštite na području Općine Vladislavci za </w:t>
      </w:r>
      <w:r w:rsidR="00683D81">
        <w:rPr>
          <w:b/>
        </w:rPr>
        <w:t>2025</w:t>
      </w:r>
      <w:r>
        <w:rPr>
          <w:b/>
        </w:rPr>
        <w:t>. godinu</w:t>
      </w:r>
    </w:p>
    <w:p w14:paraId="3B96007D" w14:textId="77777777" w:rsidR="00F62009" w:rsidRDefault="00F62009">
      <w:pPr>
        <w:jc w:val="center"/>
      </w:pPr>
    </w:p>
    <w:p w14:paraId="049D9CAC" w14:textId="77777777" w:rsidR="00F62009" w:rsidRDefault="00000000">
      <w:pPr>
        <w:numPr>
          <w:ilvl w:val="0"/>
          <w:numId w:val="3"/>
        </w:numPr>
        <w:jc w:val="both"/>
        <w:rPr>
          <w:b/>
        </w:rPr>
      </w:pPr>
      <w:r>
        <w:rPr>
          <w:b/>
        </w:rPr>
        <w:t>UVOD</w:t>
      </w:r>
    </w:p>
    <w:p w14:paraId="2D901D1F" w14:textId="77777777" w:rsidR="00F62009" w:rsidRDefault="00F62009">
      <w:pPr>
        <w:jc w:val="both"/>
      </w:pPr>
    </w:p>
    <w:p w14:paraId="0CB9EF4E" w14:textId="56415B59" w:rsidR="00F62009" w:rsidRDefault="00000000">
      <w:pPr>
        <w:jc w:val="both"/>
      </w:pPr>
      <w:r>
        <w:t xml:space="preserve">Na temelju Analize stanja sustava civilne zaštite Općine Vladislavci za </w:t>
      </w:r>
      <w:r w:rsidR="00683D81">
        <w:t>2024</w:t>
      </w:r>
      <w:r>
        <w:t xml:space="preserve">. godinu, a sukladno razmjeru opasnosti, prijetnji i posljedicama većih nesreća i katastrofa, utvrđenih Procjenom rizika od velikih nesreća za područje Općine Vladislavci, koja  predstavlja ishodište za sve ostale planske dokumente, donosi se Godišnji plan razvoja sustava civilne zaštite na području Općine Vladislavci za </w:t>
      </w:r>
      <w:r w:rsidR="00683D81">
        <w:t>2025</w:t>
      </w:r>
      <w:r>
        <w:t>. godinu.</w:t>
      </w:r>
    </w:p>
    <w:p w14:paraId="243B317B" w14:textId="77777777" w:rsidR="00F62009" w:rsidRDefault="00F62009">
      <w:pPr>
        <w:jc w:val="both"/>
      </w:pPr>
    </w:p>
    <w:p w14:paraId="0DE600FF" w14:textId="77777777" w:rsidR="00F62009" w:rsidRDefault="00000000">
      <w:pPr>
        <w:numPr>
          <w:ilvl w:val="0"/>
          <w:numId w:val="3"/>
        </w:numPr>
        <w:jc w:val="both"/>
        <w:rPr>
          <w:b/>
        </w:rPr>
      </w:pPr>
      <w:r>
        <w:rPr>
          <w:b/>
        </w:rPr>
        <w:t>PLANSKI DOKUMENTI</w:t>
      </w:r>
    </w:p>
    <w:p w14:paraId="4BC0EAC9" w14:textId="77777777" w:rsidR="00F62009" w:rsidRDefault="00F62009">
      <w:pPr>
        <w:jc w:val="both"/>
      </w:pPr>
    </w:p>
    <w:p w14:paraId="42FC0B0B" w14:textId="759AC255" w:rsidR="00F62009" w:rsidRDefault="00000000">
      <w:pPr>
        <w:jc w:val="both"/>
      </w:pPr>
      <w:r>
        <w:t xml:space="preserve">Općina Vladislavci će i u </w:t>
      </w:r>
      <w:r w:rsidR="00683D81">
        <w:t>2025</w:t>
      </w:r>
      <w:r>
        <w:t xml:space="preserve">. godini postupati prema usvojenom Planu djelovanja civilne zaštite, od planskih dokumenata planira se: </w:t>
      </w:r>
    </w:p>
    <w:p w14:paraId="676D3AED" w14:textId="77777777" w:rsidR="00683D81" w:rsidRDefault="00683D81">
      <w:pPr>
        <w:jc w:val="both"/>
      </w:pPr>
    </w:p>
    <w:p w14:paraId="4B4717C7" w14:textId="6312B232" w:rsidR="00683D81" w:rsidRDefault="00683D81">
      <w:pPr>
        <w:pStyle w:val="Odlomakpopisa"/>
        <w:numPr>
          <w:ilvl w:val="0"/>
          <w:numId w:val="4"/>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Revizija </w:t>
      </w:r>
      <w:r w:rsidRPr="00683D81">
        <w:rPr>
          <w:rFonts w:ascii="Times New Roman" w:hAnsi="Times New Roman"/>
          <w:bCs/>
          <w:sz w:val="24"/>
          <w:szCs w:val="24"/>
        </w:rPr>
        <w:t>Procjen</w:t>
      </w:r>
      <w:r w:rsidR="007148AA">
        <w:rPr>
          <w:rFonts w:ascii="Times New Roman" w:hAnsi="Times New Roman"/>
          <w:bCs/>
          <w:sz w:val="24"/>
          <w:szCs w:val="24"/>
        </w:rPr>
        <w:t>e</w:t>
      </w:r>
      <w:r w:rsidRPr="00683D81">
        <w:rPr>
          <w:rFonts w:ascii="Times New Roman" w:hAnsi="Times New Roman"/>
          <w:bCs/>
          <w:sz w:val="24"/>
          <w:szCs w:val="24"/>
        </w:rPr>
        <w:t xml:space="preserve"> rizika od velikih nesreća za područje Općine Vladislavci</w:t>
      </w:r>
      <w:r>
        <w:rPr>
          <w:rFonts w:ascii="Times New Roman" w:hAnsi="Times New Roman"/>
          <w:bCs/>
          <w:sz w:val="24"/>
          <w:szCs w:val="24"/>
        </w:rPr>
        <w:t xml:space="preserve"> i Plana djelovanja civilne zaštite,</w:t>
      </w:r>
    </w:p>
    <w:p w14:paraId="776E47FD" w14:textId="355F8B92" w:rsidR="00F62009" w:rsidRDefault="00000000">
      <w:pPr>
        <w:pStyle w:val="Odlomakpopisa"/>
        <w:numPr>
          <w:ilvl w:val="0"/>
          <w:numId w:val="4"/>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Donošenje Plana operativne provedbe programa aktivnosti u provedbi posebnih mjera zaštite od požara u </w:t>
      </w:r>
      <w:r w:rsidR="00683D81">
        <w:rPr>
          <w:rFonts w:ascii="Times New Roman" w:hAnsi="Times New Roman"/>
          <w:bCs/>
          <w:sz w:val="24"/>
          <w:szCs w:val="24"/>
        </w:rPr>
        <w:t>2025</w:t>
      </w:r>
      <w:r>
        <w:rPr>
          <w:rFonts w:ascii="Times New Roman" w:hAnsi="Times New Roman"/>
          <w:bCs/>
          <w:sz w:val="24"/>
          <w:szCs w:val="24"/>
        </w:rPr>
        <w:t>. godini koji donosi općinski načelnik</w:t>
      </w:r>
      <w:r w:rsidR="00683D81">
        <w:rPr>
          <w:rFonts w:ascii="Times New Roman" w:hAnsi="Times New Roman"/>
          <w:bCs/>
          <w:sz w:val="24"/>
          <w:szCs w:val="24"/>
        </w:rPr>
        <w:t>.</w:t>
      </w:r>
    </w:p>
    <w:p w14:paraId="5CCCADB1" w14:textId="77777777" w:rsidR="00F62009" w:rsidRDefault="00F62009">
      <w:pPr>
        <w:jc w:val="both"/>
      </w:pPr>
    </w:p>
    <w:p w14:paraId="60AD3677" w14:textId="77777777" w:rsidR="00F62009" w:rsidRDefault="00000000">
      <w:pPr>
        <w:ind w:left="360"/>
        <w:jc w:val="both"/>
        <w:rPr>
          <w:b/>
        </w:rPr>
      </w:pPr>
      <w:r>
        <w:rPr>
          <w:b/>
        </w:rPr>
        <w:t>3.</w:t>
      </w:r>
      <w:r>
        <w:rPr>
          <w:b/>
        </w:rPr>
        <w:tab/>
        <w:t>CIVILNA ZAŠTITA</w:t>
      </w:r>
    </w:p>
    <w:p w14:paraId="700F6917" w14:textId="77777777" w:rsidR="00F62009" w:rsidRDefault="00F62009">
      <w:pPr>
        <w:jc w:val="both"/>
      </w:pPr>
    </w:p>
    <w:p w14:paraId="1A3F8CD8" w14:textId="43858145" w:rsidR="00F62009" w:rsidRDefault="00000000">
      <w:pPr>
        <w:jc w:val="both"/>
      </w:pPr>
      <w:r>
        <w:t xml:space="preserve">Stožer civilne zaštite Općine Vladislavci potrebno je i nadalje educirati i upoznavati sa obvezama Zakona o sustavu civilne zaštite („Narodne novine“ broj </w:t>
      </w:r>
      <w:r w:rsidR="0059517F">
        <w:t>82/15,  118/18 31/20, 20/21 i 14/22</w:t>
      </w:r>
      <w:r>
        <w:t>), odnosno sa mjerama sustava civilne zaštite, ustrojavanjem sustava civilne zaštite, sudionicima u sustavu civilne zaštite, te obavezama jedinica lokalne i područne (regionalne) samouprave u provođenju zakonskih obveza definiranih Zakonom o sustavu civilne zaštite.</w:t>
      </w:r>
    </w:p>
    <w:p w14:paraId="2A02F8CA" w14:textId="77777777" w:rsidR="00F62009" w:rsidRDefault="00F62009">
      <w:pPr>
        <w:jc w:val="both"/>
      </w:pPr>
    </w:p>
    <w:p w14:paraId="4F0F1C66" w14:textId="0B8DC2CB" w:rsidR="00F62009" w:rsidRDefault="00000000">
      <w:pPr>
        <w:jc w:val="both"/>
      </w:pPr>
      <w:r>
        <w:t xml:space="preserve">U </w:t>
      </w:r>
      <w:r w:rsidR="00683D81">
        <w:t>2025</w:t>
      </w:r>
      <w:r>
        <w:t xml:space="preserve">. godini potrebno je nastaviti opremanje postrojbi civilne zaštite opremom u skladu s raspoloživim sredstvima predviđenim Proračunom Općine Vladislavci za </w:t>
      </w:r>
      <w:r w:rsidR="00683D81">
        <w:t>2025</w:t>
      </w:r>
      <w:r>
        <w:t xml:space="preserve">. godinu. </w:t>
      </w:r>
    </w:p>
    <w:p w14:paraId="11C145AE" w14:textId="77777777" w:rsidR="00F62009" w:rsidRDefault="00F62009">
      <w:pPr>
        <w:jc w:val="both"/>
        <w:rPr>
          <w:color w:val="FF0000"/>
        </w:rPr>
      </w:pPr>
    </w:p>
    <w:p w14:paraId="3E9AE8C5" w14:textId="77777777" w:rsidR="00F62009" w:rsidRDefault="00000000">
      <w:pPr>
        <w:ind w:left="360"/>
        <w:jc w:val="both"/>
        <w:rPr>
          <w:b/>
        </w:rPr>
      </w:pPr>
      <w:r>
        <w:rPr>
          <w:b/>
        </w:rPr>
        <w:t>4.VATROGASTVO</w:t>
      </w:r>
    </w:p>
    <w:p w14:paraId="57E0AF1F" w14:textId="77777777" w:rsidR="00F62009" w:rsidRDefault="00F62009">
      <w:pPr>
        <w:ind w:left="360"/>
        <w:jc w:val="both"/>
      </w:pPr>
    </w:p>
    <w:p w14:paraId="61AB2521" w14:textId="77777777" w:rsidR="00F62009" w:rsidRDefault="00000000">
      <w:pPr>
        <w:jc w:val="both"/>
      </w:pPr>
      <w:r>
        <w:t xml:space="preserve">Najznačajniji operativni kapacitet u zaštiti od požara je  Javna ustanova Javna vatrogasna postrojba Čepin, uz javnu vatrogasnu postrojbu Čepin, sukladno odredbama Plana zaštite od požara Općine Vladislavci, sa zadaćama u zaštiti od požara nastavljaju Dobrovoljno vatrogasno društvo Vladislavci i Dobrovoljno vatrogasno društvo  Hrastin. </w:t>
      </w:r>
    </w:p>
    <w:p w14:paraId="7DBC6044" w14:textId="77777777" w:rsidR="00F62009" w:rsidRDefault="00F62009">
      <w:pPr>
        <w:jc w:val="both"/>
      </w:pPr>
    </w:p>
    <w:p w14:paraId="3EC60584" w14:textId="77777777" w:rsidR="00F62009" w:rsidRDefault="00000000">
      <w:pPr>
        <w:jc w:val="both"/>
      </w:pPr>
      <w:r>
        <w:t>Potrebno je nastaviti s daljnjim razvojem oba dobrovoljna vatrogasna društva sukladno njihovim vlastitim programima i razvojnim projektima, te kontinuirano provoditi njihovo popunjavanje vozilima i opremom i osposobljavanjem vatrogasaca.</w:t>
      </w:r>
    </w:p>
    <w:p w14:paraId="4DCE79AF" w14:textId="77777777" w:rsidR="00F62009" w:rsidRDefault="00F62009">
      <w:pPr>
        <w:jc w:val="both"/>
      </w:pPr>
    </w:p>
    <w:p w14:paraId="051F1B86" w14:textId="77777777" w:rsidR="00F62009" w:rsidRDefault="00000000">
      <w:pPr>
        <w:ind w:left="708" w:hanging="348"/>
        <w:jc w:val="both"/>
        <w:rPr>
          <w:b/>
        </w:rPr>
      </w:pPr>
      <w:r>
        <w:rPr>
          <w:b/>
        </w:rPr>
        <w:t>5. SLUŽBE I PRAVNE OSOBE KOJIMA JE ZAŠTITA I SPAŠAVANJE REDOVITA DJELATNOST</w:t>
      </w:r>
    </w:p>
    <w:p w14:paraId="6101032A" w14:textId="77777777" w:rsidR="0059517F" w:rsidRPr="0059517F" w:rsidRDefault="0059517F" w:rsidP="0059517F">
      <w:pPr>
        <w:pStyle w:val="Bezproreda"/>
        <w:rPr>
          <w:rFonts w:ascii="Times New Roman" w:hAnsi="Times New Roman"/>
          <w:sz w:val="24"/>
          <w:szCs w:val="24"/>
        </w:rPr>
      </w:pPr>
    </w:p>
    <w:p w14:paraId="75A1E437" w14:textId="4BB15AE0" w:rsidR="00F62009" w:rsidRPr="0059517F" w:rsidRDefault="00000000" w:rsidP="006E3ACF">
      <w:pPr>
        <w:pStyle w:val="Bezproreda"/>
        <w:jc w:val="both"/>
        <w:rPr>
          <w:rFonts w:ascii="Times New Roman" w:hAnsi="Times New Roman"/>
          <w:sz w:val="24"/>
          <w:szCs w:val="24"/>
        </w:rPr>
      </w:pPr>
      <w:r w:rsidRPr="0059517F">
        <w:rPr>
          <w:rFonts w:ascii="Times New Roman" w:hAnsi="Times New Roman"/>
          <w:sz w:val="24"/>
          <w:szCs w:val="24"/>
        </w:rPr>
        <w:t xml:space="preserve">Općina Vladislavci će i u </w:t>
      </w:r>
      <w:r w:rsidR="00683D81">
        <w:rPr>
          <w:rFonts w:ascii="Times New Roman" w:hAnsi="Times New Roman"/>
          <w:sz w:val="24"/>
          <w:szCs w:val="24"/>
        </w:rPr>
        <w:t>2025</w:t>
      </w:r>
      <w:r w:rsidRPr="0059517F">
        <w:rPr>
          <w:rFonts w:ascii="Times New Roman" w:hAnsi="Times New Roman"/>
          <w:sz w:val="24"/>
          <w:szCs w:val="24"/>
        </w:rPr>
        <w:t>. godini financirati službe i pravne osobe kojima je sustav civilne zaštite redovna djelatnost,</w:t>
      </w:r>
      <w:r w:rsidR="00E125ED" w:rsidRPr="0059517F">
        <w:rPr>
          <w:rFonts w:ascii="Times New Roman" w:hAnsi="Times New Roman"/>
          <w:sz w:val="24"/>
          <w:szCs w:val="24"/>
        </w:rPr>
        <w:t xml:space="preserve"> </w:t>
      </w:r>
      <w:r w:rsidRPr="0059517F">
        <w:rPr>
          <w:rFonts w:ascii="Times New Roman" w:hAnsi="Times New Roman"/>
          <w:sz w:val="24"/>
          <w:szCs w:val="24"/>
        </w:rPr>
        <w:t xml:space="preserve">sredstvima koja su osigurana u Proračunu Općine Vladislavci za </w:t>
      </w:r>
      <w:r w:rsidR="00683D81">
        <w:rPr>
          <w:rFonts w:ascii="Times New Roman" w:hAnsi="Times New Roman"/>
          <w:sz w:val="24"/>
          <w:szCs w:val="24"/>
        </w:rPr>
        <w:t>2025</w:t>
      </w:r>
      <w:r w:rsidRPr="0059517F">
        <w:rPr>
          <w:rFonts w:ascii="Times New Roman" w:hAnsi="Times New Roman"/>
          <w:sz w:val="24"/>
          <w:szCs w:val="24"/>
        </w:rPr>
        <w:t>. godinu.</w:t>
      </w:r>
    </w:p>
    <w:p w14:paraId="17835A69" w14:textId="77777777" w:rsidR="00F62009" w:rsidRDefault="00000000">
      <w:pPr>
        <w:ind w:left="360"/>
        <w:jc w:val="both"/>
        <w:rPr>
          <w:b/>
        </w:rPr>
      </w:pPr>
      <w:r>
        <w:rPr>
          <w:b/>
        </w:rPr>
        <w:lastRenderedPageBreak/>
        <w:t>6.EDUKACIJA STANOVNIŠTVA</w:t>
      </w:r>
    </w:p>
    <w:p w14:paraId="25301C27" w14:textId="77777777" w:rsidR="00F62009" w:rsidRDefault="00F62009">
      <w:pPr>
        <w:jc w:val="both"/>
      </w:pPr>
    </w:p>
    <w:p w14:paraId="41B4CBE0" w14:textId="77777777" w:rsidR="00F62009" w:rsidRDefault="00000000">
      <w:pPr>
        <w:jc w:val="both"/>
      </w:pPr>
      <w:r>
        <w:t xml:space="preserve">Zadatak je da se edukacijom podigne razina svijesti građana kao sudionika sustava civilne zaštite, te je iz tog razloga potrebno kontinuirano vršiti: </w:t>
      </w:r>
    </w:p>
    <w:p w14:paraId="4FFE23B2" w14:textId="77777777" w:rsidR="00F62009" w:rsidRDefault="00000000">
      <w:pPr>
        <w:pStyle w:val="Odlomakpopisa"/>
        <w:numPr>
          <w:ilvl w:val="0"/>
          <w:numId w:val="6"/>
        </w:numPr>
        <w:jc w:val="both"/>
        <w:rPr>
          <w:rFonts w:ascii="Times New Roman" w:hAnsi="Times New Roman"/>
          <w:sz w:val="24"/>
          <w:szCs w:val="24"/>
        </w:rPr>
      </w:pPr>
      <w:r>
        <w:rPr>
          <w:rFonts w:ascii="Times New Roman" w:hAnsi="Times New Roman"/>
          <w:sz w:val="24"/>
          <w:szCs w:val="24"/>
        </w:rPr>
        <w:t xml:space="preserve">upoznavanje mještana sa sadržajem Procjene rizika od velikih nesreća za područje Općine Vladislavci putem web stranica </w:t>
      </w:r>
    </w:p>
    <w:p w14:paraId="63AC3CE7" w14:textId="77777777" w:rsidR="00F62009" w:rsidRDefault="00000000">
      <w:pPr>
        <w:pStyle w:val="Odlomakpopisa"/>
        <w:numPr>
          <w:ilvl w:val="0"/>
          <w:numId w:val="6"/>
        </w:numPr>
        <w:jc w:val="both"/>
        <w:rPr>
          <w:rFonts w:ascii="Times New Roman" w:hAnsi="Times New Roman"/>
          <w:sz w:val="24"/>
          <w:szCs w:val="24"/>
        </w:rPr>
      </w:pPr>
      <w:r>
        <w:rPr>
          <w:rFonts w:ascii="Times New Roman" w:hAnsi="Times New Roman"/>
          <w:sz w:val="24"/>
          <w:szCs w:val="24"/>
        </w:rPr>
        <w:t>izrada potrebnih naputaka o postupanju stanovništva u slučaju velikih nesreća i katastrofa, naročito za moguće nesreće i katastrofe izazvane poplavama i požarima za koje postoje opasnosti na našem području.</w:t>
      </w:r>
    </w:p>
    <w:p w14:paraId="61A95091" w14:textId="77777777" w:rsidR="00F62009" w:rsidRDefault="00F62009">
      <w:pPr>
        <w:ind w:left="1416"/>
        <w:jc w:val="both"/>
      </w:pPr>
    </w:p>
    <w:p w14:paraId="3784C509" w14:textId="77777777" w:rsidR="00F62009" w:rsidRDefault="00000000">
      <w:pPr>
        <w:ind w:left="360"/>
        <w:jc w:val="both"/>
        <w:rPr>
          <w:b/>
        </w:rPr>
      </w:pPr>
      <w:r>
        <w:rPr>
          <w:b/>
        </w:rPr>
        <w:t xml:space="preserve">7.FINANCIRANJE SUSTAVA CIVILNE ZAŠTITE </w:t>
      </w:r>
    </w:p>
    <w:p w14:paraId="7B87B57F" w14:textId="77777777" w:rsidR="00F62009" w:rsidRDefault="00F62009">
      <w:pPr>
        <w:jc w:val="both"/>
      </w:pPr>
    </w:p>
    <w:tbl>
      <w:tblPr>
        <w:tblpPr w:leftFromText="180" w:rightFromText="180" w:vertAnchor="text" w:horzAnchor="page" w:tblpX="1434" w:tblpY="125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
        <w:gridCol w:w="5424"/>
        <w:gridCol w:w="2835"/>
      </w:tblGrid>
      <w:tr w:rsidR="0059517F" w14:paraId="60573C02" w14:textId="1D2545C1" w:rsidTr="0059517F">
        <w:trPr>
          <w:cantSplit/>
          <w:trHeight w:val="562"/>
        </w:trPr>
        <w:tc>
          <w:tcPr>
            <w:tcW w:w="950" w:type="dxa"/>
            <w:shd w:val="clear" w:color="auto" w:fill="F2F2F2"/>
          </w:tcPr>
          <w:p w14:paraId="204AB111" w14:textId="77777777" w:rsidR="0059517F" w:rsidRDefault="0059517F" w:rsidP="0059517F">
            <w:pPr>
              <w:jc w:val="center"/>
              <w:rPr>
                <w:b/>
                <w:bCs/>
              </w:rPr>
            </w:pPr>
            <w:r>
              <w:rPr>
                <w:b/>
                <w:bCs/>
              </w:rPr>
              <w:t>R.BR.</w:t>
            </w:r>
          </w:p>
          <w:p w14:paraId="6C778A40" w14:textId="77777777" w:rsidR="0059517F" w:rsidRDefault="0059517F" w:rsidP="0059517F">
            <w:pPr>
              <w:jc w:val="center"/>
            </w:pPr>
          </w:p>
        </w:tc>
        <w:tc>
          <w:tcPr>
            <w:tcW w:w="5424" w:type="dxa"/>
            <w:shd w:val="clear" w:color="auto" w:fill="F2F2F2"/>
          </w:tcPr>
          <w:p w14:paraId="40FFB87B" w14:textId="77777777" w:rsidR="0059517F" w:rsidRDefault="0059517F" w:rsidP="0059517F">
            <w:pPr>
              <w:pStyle w:val="Naslov2"/>
              <w:jc w:val="center"/>
            </w:pPr>
            <w:r>
              <w:t>OPIS POZICIJE</w:t>
            </w:r>
          </w:p>
        </w:tc>
        <w:tc>
          <w:tcPr>
            <w:tcW w:w="2835" w:type="dxa"/>
            <w:shd w:val="clear" w:color="auto" w:fill="F2F2F2"/>
          </w:tcPr>
          <w:p w14:paraId="5943CEEE" w14:textId="13FBEE34" w:rsidR="0059517F" w:rsidRPr="0059517F" w:rsidRDefault="0059517F" w:rsidP="0059517F">
            <w:pPr>
              <w:pStyle w:val="Naslov2"/>
              <w:jc w:val="center"/>
            </w:pPr>
            <w:r w:rsidRPr="0059517F">
              <w:t>PLANIRANI IZNOS</w:t>
            </w:r>
          </w:p>
          <w:p w14:paraId="39F1BCBA" w14:textId="6C0EFA16" w:rsidR="0059517F" w:rsidRPr="0059517F" w:rsidRDefault="0059517F" w:rsidP="0059517F">
            <w:pPr>
              <w:jc w:val="center"/>
            </w:pPr>
            <w:r w:rsidRPr="0059517F">
              <w:rPr>
                <w:b/>
                <w:bCs/>
              </w:rPr>
              <w:t>U EUR</w:t>
            </w:r>
          </w:p>
        </w:tc>
      </w:tr>
      <w:tr w:rsidR="0059517F" w14:paraId="3AF6CAC6" w14:textId="009B6767" w:rsidTr="0059517F">
        <w:trPr>
          <w:cantSplit/>
        </w:trPr>
        <w:tc>
          <w:tcPr>
            <w:tcW w:w="950" w:type="dxa"/>
            <w:vMerge w:val="restart"/>
          </w:tcPr>
          <w:p w14:paraId="02A52BBC" w14:textId="77777777" w:rsidR="0059517F" w:rsidRDefault="0059517F" w:rsidP="0059517F">
            <w:pPr>
              <w:numPr>
                <w:ilvl w:val="0"/>
                <w:numId w:val="5"/>
              </w:numPr>
              <w:jc w:val="both"/>
            </w:pPr>
          </w:p>
        </w:tc>
        <w:tc>
          <w:tcPr>
            <w:tcW w:w="5424" w:type="dxa"/>
            <w:shd w:val="clear" w:color="auto" w:fill="D9D9D9"/>
          </w:tcPr>
          <w:p w14:paraId="158B8B5D" w14:textId="77777777" w:rsidR="0059517F" w:rsidRDefault="0059517F" w:rsidP="0059517F">
            <w:pPr>
              <w:pStyle w:val="Naslov2"/>
            </w:pPr>
            <w:r>
              <w:t>CIVILNA ZAŠTITA</w:t>
            </w:r>
          </w:p>
          <w:p w14:paraId="256E2DE1" w14:textId="77777777" w:rsidR="0059517F" w:rsidRDefault="0059517F" w:rsidP="0059517F"/>
        </w:tc>
        <w:tc>
          <w:tcPr>
            <w:tcW w:w="2835" w:type="dxa"/>
            <w:shd w:val="clear" w:color="auto" w:fill="D9D9D9"/>
          </w:tcPr>
          <w:p w14:paraId="64DA84C0" w14:textId="77777777" w:rsidR="0059517F" w:rsidRDefault="0059517F" w:rsidP="0059517F">
            <w:pPr>
              <w:pStyle w:val="Naslov2"/>
            </w:pPr>
          </w:p>
        </w:tc>
      </w:tr>
      <w:tr w:rsidR="0059517F" w14:paraId="2F903A7D" w14:textId="2E23ABA5" w:rsidTr="0059517F">
        <w:trPr>
          <w:cantSplit/>
        </w:trPr>
        <w:tc>
          <w:tcPr>
            <w:tcW w:w="950" w:type="dxa"/>
            <w:vMerge/>
          </w:tcPr>
          <w:p w14:paraId="28CDD0D8" w14:textId="77777777" w:rsidR="0059517F" w:rsidRDefault="0059517F" w:rsidP="0059517F">
            <w:pPr>
              <w:numPr>
                <w:ilvl w:val="0"/>
                <w:numId w:val="5"/>
              </w:numPr>
              <w:jc w:val="both"/>
            </w:pPr>
          </w:p>
        </w:tc>
        <w:tc>
          <w:tcPr>
            <w:tcW w:w="5424" w:type="dxa"/>
          </w:tcPr>
          <w:p w14:paraId="7AD1A9CF" w14:textId="0DA89DFD" w:rsidR="0059517F" w:rsidRPr="001A01EF" w:rsidRDefault="0059517F" w:rsidP="0059517F">
            <w:pPr>
              <w:jc w:val="both"/>
              <w:rPr>
                <w:color w:val="FF0000"/>
              </w:rPr>
            </w:pPr>
            <w:r>
              <w:t>Postrojbe civilne zaštite</w:t>
            </w:r>
          </w:p>
        </w:tc>
        <w:tc>
          <w:tcPr>
            <w:tcW w:w="2835" w:type="dxa"/>
          </w:tcPr>
          <w:p w14:paraId="297C9B7B" w14:textId="720BD7CE" w:rsidR="0059517F" w:rsidRDefault="002E2848" w:rsidP="00683D81">
            <w:pPr>
              <w:jc w:val="right"/>
            </w:pPr>
            <w:r>
              <w:t>500,00</w:t>
            </w:r>
          </w:p>
        </w:tc>
      </w:tr>
      <w:tr w:rsidR="0059517F" w14:paraId="20D6CEB3" w14:textId="2C657C8D" w:rsidTr="0059517F">
        <w:trPr>
          <w:cantSplit/>
        </w:trPr>
        <w:tc>
          <w:tcPr>
            <w:tcW w:w="950" w:type="dxa"/>
            <w:vMerge/>
          </w:tcPr>
          <w:p w14:paraId="4B20A2E7" w14:textId="77777777" w:rsidR="0059517F" w:rsidRDefault="0059517F" w:rsidP="0059517F">
            <w:pPr>
              <w:numPr>
                <w:ilvl w:val="0"/>
                <w:numId w:val="5"/>
              </w:numPr>
              <w:jc w:val="both"/>
            </w:pPr>
          </w:p>
        </w:tc>
        <w:tc>
          <w:tcPr>
            <w:tcW w:w="5424" w:type="dxa"/>
          </w:tcPr>
          <w:p w14:paraId="3E165B6C" w14:textId="77777777" w:rsidR="0059517F" w:rsidRDefault="0059517F" w:rsidP="0059517F">
            <w:pPr>
              <w:jc w:val="both"/>
              <w:rPr>
                <w:b/>
              </w:rPr>
            </w:pPr>
            <w:r>
              <w:rPr>
                <w:b/>
              </w:rPr>
              <w:t>Ukupno Civilna zaštita</w:t>
            </w:r>
          </w:p>
        </w:tc>
        <w:tc>
          <w:tcPr>
            <w:tcW w:w="2835" w:type="dxa"/>
          </w:tcPr>
          <w:p w14:paraId="4C67EFE9" w14:textId="2997682D" w:rsidR="0059517F" w:rsidRDefault="002E2848" w:rsidP="00683D81">
            <w:pPr>
              <w:jc w:val="right"/>
              <w:rPr>
                <w:b/>
              </w:rPr>
            </w:pPr>
            <w:r>
              <w:rPr>
                <w:b/>
              </w:rPr>
              <w:t>500,00</w:t>
            </w:r>
          </w:p>
        </w:tc>
      </w:tr>
      <w:tr w:rsidR="0059517F" w14:paraId="1D4FDD5B" w14:textId="4A6B8A72" w:rsidTr="0059517F">
        <w:trPr>
          <w:cantSplit/>
        </w:trPr>
        <w:tc>
          <w:tcPr>
            <w:tcW w:w="950" w:type="dxa"/>
            <w:vMerge w:val="restart"/>
          </w:tcPr>
          <w:p w14:paraId="6BC4627F" w14:textId="77777777" w:rsidR="0059517F" w:rsidRDefault="0059517F" w:rsidP="0059517F">
            <w:pPr>
              <w:numPr>
                <w:ilvl w:val="0"/>
                <w:numId w:val="5"/>
              </w:numPr>
              <w:jc w:val="both"/>
            </w:pPr>
          </w:p>
        </w:tc>
        <w:tc>
          <w:tcPr>
            <w:tcW w:w="5424" w:type="dxa"/>
            <w:shd w:val="clear" w:color="auto" w:fill="D9D9D9"/>
          </w:tcPr>
          <w:p w14:paraId="68038830" w14:textId="77777777" w:rsidR="0059517F" w:rsidRDefault="0059517F" w:rsidP="0059517F">
            <w:pPr>
              <w:jc w:val="both"/>
              <w:rPr>
                <w:b/>
              </w:rPr>
            </w:pPr>
            <w:r>
              <w:rPr>
                <w:b/>
              </w:rPr>
              <w:t>VATROGASTVO</w:t>
            </w:r>
          </w:p>
          <w:p w14:paraId="6A8C828F" w14:textId="77777777" w:rsidR="0059517F" w:rsidRDefault="0059517F" w:rsidP="0059517F">
            <w:pPr>
              <w:jc w:val="both"/>
              <w:rPr>
                <w:b/>
              </w:rPr>
            </w:pPr>
          </w:p>
        </w:tc>
        <w:tc>
          <w:tcPr>
            <w:tcW w:w="2835" w:type="dxa"/>
            <w:shd w:val="clear" w:color="auto" w:fill="D9D9D9"/>
          </w:tcPr>
          <w:p w14:paraId="1AAB1839" w14:textId="77777777" w:rsidR="0059517F" w:rsidRDefault="0059517F" w:rsidP="00683D81">
            <w:pPr>
              <w:jc w:val="right"/>
              <w:rPr>
                <w:b/>
              </w:rPr>
            </w:pPr>
          </w:p>
        </w:tc>
      </w:tr>
      <w:tr w:rsidR="0059517F" w14:paraId="08594AD6" w14:textId="30CD1042" w:rsidTr="0059517F">
        <w:trPr>
          <w:cantSplit/>
        </w:trPr>
        <w:tc>
          <w:tcPr>
            <w:tcW w:w="950" w:type="dxa"/>
            <w:vMerge/>
          </w:tcPr>
          <w:p w14:paraId="1BEB9BF1" w14:textId="77777777" w:rsidR="0059517F" w:rsidRDefault="0059517F" w:rsidP="0059517F">
            <w:pPr>
              <w:numPr>
                <w:ilvl w:val="0"/>
                <w:numId w:val="5"/>
              </w:numPr>
              <w:jc w:val="both"/>
            </w:pPr>
          </w:p>
        </w:tc>
        <w:tc>
          <w:tcPr>
            <w:tcW w:w="5424" w:type="dxa"/>
          </w:tcPr>
          <w:p w14:paraId="38CA22A6" w14:textId="77777777" w:rsidR="0059517F" w:rsidRDefault="0059517F" w:rsidP="0059517F">
            <w:pPr>
              <w:jc w:val="both"/>
            </w:pPr>
            <w:r>
              <w:t>Javne vatrogasne postrojbe – decentralizirana sredstva</w:t>
            </w:r>
          </w:p>
        </w:tc>
        <w:tc>
          <w:tcPr>
            <w:tcW w:w="2835" w:type="dxa"/>
          </w:tcPr>
          <w:p w14:paraId="45F58DBE" w14:textId="2D0CF46B" w:rsidR="0059517F" w:rsidRDefault="002E2848" w:rsidP="00683D81">
            <w:pPr>
              <w:jc w:val="right"/>
            </w:pPr>
            <w:r>
              <w:t>3.000,00</w:t>
            </w:r>
          </w:p>
        </w:tc>
      </w:tr>
      <w:tr w:rsidR="0059517F" w14:paraId="00513BD4" w14:textId="784B7CB9" w:rsidTr="0059517F">
        <w:trPr>
          <w:cantSplit/>
          <w:trHeight w:val="285"/>
        </w:trPr>
        <w:tc>
          <w:tcPr>
            <w:tcW w:w="950" w:type="dxa"/>
            <w:vMerge/>
          </w:tcPr>
          <w:p w14:paraId="6498B753" w14:textId="77777777" w:rsidR="0059517F" w:rsidRDefault="0059517F" w:rsidP="0059517F">
            <w:pPr>
              <w:numPr>
                <w:ilvl w:val="0"/>
                <w:numId w:val="5"/>
              </w:numPr>
              <w:jc w:val="both"/>
            </w:pPr>
          </w:p>
        </w:tc>
        <w:tc>
          <w:tcPr>
            <w:tcW w:w="5424" w:type="dxa"/>
          </w:tcPr>
          <w:p w14:paraId="51BDE536" w14:textId="77777777" w:rsidR="0059517F" w:rsidRDefault="0059517F" w:rsidP="0059517F">
            <w:pPr>
              <w:jc w:val="both"/>
            </w:pPr>
            <w:r>
              <w:t xml:space="preserve">Vatrogasna zajednica i Dobrovoljne vatrogasne postrojbe </w:t>
            </w:r>
          </w:p>
        </w:tc>
        <w:tc>
          <w:tcPr>
            <w:tcW w:w="2835" w:type="dxa"/>
          </w:tcPr>
          <w:p w14:paraId="02FCC916" w14:textId="38FA546F" w:rsidR="0059517F" w:rsidRDefault="002E2848" w:rsidP="00683D81">
            <w:pPr>
              <w:jc w:val="right"/>
            </w:pPr>
            <w:r>
              <w:t>25.000,00</w:t>
            </w:r>
          </w:p>
        </w:tc>
      </w:tr>
      <w:tr w:rsidR="0059517F" w14:paraId="1C27A326" w14:textId="36BAF87B" w:rsidTr="0059517F">
        <w:trPr>
          <w:cantSplit/>
        </w:trPr>
        <w:tc>
          <w:tcPr>
            <w:tcW w:w="950" w:type="dxa"/>
            <w:vMerge/>
          </w:tcPr>
          <w:p w14:paraId="4770F49B" w14:textId="77777777" w:rsidR="0059517F" w:rsidRDefault="0059517F" w:rsidP="0059517F">
            <w:pPr>
              <w:numPr>
                <w:ilvl w:val="0"/>
                <w:numId w:val="5"/>
              </w:numPr>
              <w:jc w:val="both"/>
            </w:pPr>
          </w:p>
        </w:tc>
        <w:tc>
          <w:tcPr>
            <w:tcW w:w="5424" w:type="dxa"/>
          </w:tcPr>
          <w:p w14:paraId="5364A7D0" w14:textId="77777777" w:rsidR="0059517F" w:rsidRDefault="0059517F" w:rsidP="0059517F">
            <w:pPr>
              <w:jc w:val="both"/>
              <w:rPr>
                <w:b/>
              </w:rPr>
            </w:pPr>
            <w:r>
              <w:rPr>
                <w:b/>
              </w:rPr>
              <w:t>Ukupno Vatrogastvo</w:t>
            </w:r>
          </w:p>
        </w:tc>
        <w:tc>
          <w:tcPr>
            <w:tcW w:w="2835" w:type="dxa"/>
          </w:tcPr>
          <w:p w14:paraId="3DDB55F6" w14:textId="51F19C4E" w:rsidR="0059517F" w:rsidRDefault="002E2848" w:rsidP="00683D81">
            <w:pPr>
              <w:jc w:val="right"/>
              <w:rPr>
                <w:b/>
              </w:rPr>
            </w:pPr>
            <w:r>
              <w:rPr>
                <w:b/>
              </w:rPr>
              <w:t>28.000,00</w:t>
            </w:r>
          </w:p>
        </w:tc>
      </w:tr>
      <w:tr w:rsidR="0059517F" w14:paraId="079EA5A3" w14:textId="227D8F97" w:rsidTr="0059517F">
        <w:trPr>
          <w:cantSplit/>
        </w:trPr>
        <w:tc>
          <w:tcPr>
            <w:tcW w:w="950" w:type="dxa"/>
            <w:vMerge w:val="restart"/>
          </w:tcPr>
          <w:p w14:paraId="37AAB036" w14:textId="77777777" w:rsidR="0059517F" w:rsidRDefault="0059517F" w:rsidP="0059517F">
            <w:pPr>
              <w:numPr>
                <w:ilvl w:val="0"/>
                <w:numId w:val="5"/>
              </w:numPr>
              <w:jc w:val="both"/>
            </w:pPr>
          </w:p>
        </w:tc>
        <w:tc>
          <w:tcPr>
            <w:tcW w:w="5424" w:type="dxa"/>
            <w:shd w:val="clear" w:color="auto" w:fill="D9D9D9"/>
          </w:tcPr>
          <w:p w14:paraId="2A36E56E" w14:textId="77777777" w:rsidR="0059517F" w:rsidRDefault="0059517F" w:rsidP="0059517F">
            <w:pPr>
              <w:jc w:val="both"/>
            </w:pPr>
            <w:r>
              <w:rPr>
                <w:b/>
                <w:bCs/>
              </w:rPr>
              <w:t xml:space="preserve">SLUŽBE I PRAVNE OSOBE KOJIMA JE SUSTAV CIVILNE ZAŠTITE  REDOVITA DJELATNOST </w:t>
            </w:r>
            <w:r>
              <w:t xml:space="preserve"> </w:t>
            </w:r>
          </w:p>
        </w:tc>
        <w:tc>
          <w:tcPr>
            <w:tcW w:w="2835" w:type="dxa"/>
            <w:shd w:val="clear" w:color="auto" w:fill="D9D9D9"/>
          </w:tcPr>
          <w:p w14:paraId="45FA69CC" w14:textId="77777777" w:rsidR="0059517F" w:rsidRDefault="0059517F" w:rsidP="00683D81">
            <w:pPr>
              <w:jc w:val="right"/>
              <w:rPr>
                <w:b/>
                <w:bCs/>
              </w:rPr>
            </w:pPr>
          </w:p>
        </w:tc>
      </w:tr>
      <w:tr w:rsidR="0059517F" w14:paraId="4EF8442E" w14:textId="32B99E10" w:rsidTr="0059517F">
        <w:trPr>
          <w:cantSplit/>
        </w:trPr>
        <w:tc>
          <w:tcPr>
            <w:tcW w:w="950" w:type="dxa"/>
            <w:vMerge/>
          </w:tcPr>
          <w:p w14:paraId="6C4508C6" w14:textId="77777777" w:rsidR="0059517F" w:rsidRDefault="0059517F" w:rsidP="0059517F">
            <w:pPr>
              <w:numPr>
                <w:ilvl w:val="0"/>
                <w:numId w:val="5"/>
              </w:numPr>
              <w:jc w:val="both"/>
            </w:pPr>
          </w:p>
        </w:tc>
        <w:tc>
          <w:tcPr>
            <w:tcW w:w="5424" w:type="dxa"/>
          </w:tcPr>
          <w:p w14:paraId="2F6E745D" w14:textId="77777777" w:rsidR="0059517F" w:rsidRDefault="0059517F" w:rsidP="0059517F">
            <w:pPr>
              <w:jc w:val="both"/>
              <w:rPr>
                <w:bCs/>
              </w:rPr>
            </w:pPr>
            <w:r>
              <w:rPr>
                <w:bCs/>
              </w:rPr>
              <w:t>Hrvatski crveni križ</w:t>
            </w:r>
          </w:p>
        </w:tc>
        <w:tc>
          <w:tcPr>
            <w:tcW w:w="2835" w:type="dxa"/>
          </w:tcPr>
          <w:p w14:paraId="15F19552" w14:textId="0A1A0F57" w:rsidR="0059517F" w:rsidRDefault="002E2848" w:rsidP="00683D81">
            <w:pPr>
              <w:jc w:val="right"/>
              <w:rPr>
                <w:bCs/>
              </w:rPr>
            </w:pPr>
            <w:r>
              <w:rPr>
                <w:bCs/>
              </w:rPr>
              <w:t>2.000,00</w:t>
            </w:r>
          </w:p>
        </w:tc>
      </w:tr>
      <w:tr w:rsidR="0059517F" w14:paraId="1E97B074" w14:textId="6FFA2588" w:rsidTr="0059517F">
        <w:trPr>
          <w:cantSplit/>
        </w:trPr>
        <w:tc>
          <w:tcPr>
            <w:tcW w:w="950" w:type="dxa"/>
            <w:vMerge/>
          </w:tcPr>
          <w:p w14:paraId="255C8835" w14:textId="77777777" w:rsidR="0059517F" w:rsidRDefault="0059517F" w:rsidP="0059517F">
            <w:pPr>
              <w:numPr>
                <w:ilvl w:val="0"/>
                <w:numId w:val="5"/>
              </w:numPr>
              <w:jc w:val="both"/>
            </w:pPr>
          </w:p>
        </w:tc>
        <w:tc>
          <w:tcPr>
            <w:tcW w:w="5424" w:type="dxa"/>
          </w:tcPr>
          <w:p w14:paraId="69E21784" w14:textId="77777777" w:rsidR="0059517F" w:rsidRDefault="0059517F" w:rsidP="0059517F">
            <w:pPr>
              <w:jc w:val="both"/>
              <w:rPr>
                <w:bCs/>
              </w:rPr>
            </w:pPr>
            <w:r>
              <w:rPr>
                <w:bCs/>
              </w:rPr>
              <w:t>HGSS</w:t>
            </w:r>
          </w:p>
        </w:tc>
        <w:tc>
          <w:tcPr>
            <w:tcW w:w="2835" w:type="dxa"/>
          </w:tcPr>
          <w:p w14:paraId="6A7EBBD4" w14:textId="23C0F951" w:rsidR="0059517F" w:rsidRDefault="002E2848" w:rsidP="00683D81">
            <w:pPr>
              <w:jc w:val="right"/>
              <w:rPr>
                <w:bCs/>
              </w:rPr>
            </w:pPr>
            <w:r>
              <w:rPr>
                <w:bCs/>
              </w:rPr>
              <w:t>500,00</w:t>
            </w:r>
          </w:p>
        </w:tc>
      </w:tr>
      <w:tr w:rsidR="0059517F" w14:paraId="0636D0EC" w14:textId="1AF8A3BC" w:rsidTr="0059517F">
        <w:trPr>
          <w:cantSplit/>
        </w:trPr>
        <w:tc>
          <w:tcPr>
            <w:tcW w:w="950" w:type="dxa"/>
            <w:vMerge/>
          </w:tcPr>
          <w:p w14:paraId="3C591580" w14:textId="77777777" w:rsidR="0059517F" w:rsidRDefault="0059517F" w:rsidP="0059517F">
            <w:pPr>
              <w:numPr>
                <w:ilvl w:val="0"/>
                <w:numId w:val="5"/>
              </w:numPr>
              <w:jc w:val="both"/>
            </w:pPr>
          </w:p>
        </w:tc>
        <w:tc>
          <w:tcPr>
            <w:tcW w:w="5424" w:type="dxa"/>
          </w:tcPr>
          <w:p w14:paraId="409AB4A7" w14:textId="77777777" w:rsidR="0059517F" w:rsidRDefault="0059517F" w:rsidP="0059517F">
            <w:pPr>
              <w:jc w:val="both"/>
              <w:rPr>
                <w:b/>
              </w:rPr>
            </w:pPr>
            <w:r>
              <w:rPr>
                <w:b/>
              </w:rPr>
              <w:t xml:space="preserve">Ukupno </w:t>
            </w:r>
            <w:r>
              <w:rPr>
                <w:b/>
                <w:bCs/>
              </w:rPr>
              <w:t xml:space="preserve">službe i pravne osobe kojima je sustav civilne zaštite  redovita djelatnost </w:t>
            </w:r>
            <w:r>
              <w:rPr>
                <w:b/>
              </w:rPr>
              <w:t xml:space="preserve"> </w:t>
            </w:r>
          </w:p>
        </w:tc>
        <w:tc>
          <w:tcPr>
            <w:tcW w:w="2835" w:type="dxa"/>
          </w:tcPr>
          <w:p w14:paraId="4FAE3677" w14:textId="18D1BE0B" w:rsidR="0059517F" w:rsidRDefault="002E2848" w:rsidP="00683D81">
            <w:pPr>
              <w:jc w:val="right"/>
              <w:rPr>
                <w:b/>
              </w:rPr>
            </w:pPr>
            <w:r>
              <w:rPr>
                <w:b/>
              </w:rPr>
              <w:t>2.500,00</w:t>
            </w:r>
          </w:p>
        </w:tc>
      </w:tr>
      <w:tr w:rsidR="0059517F" w14:paraId="4381A181" w14:textId="696C64E5" w:rsidTr="0059517F">
        <w:trPr>
          <w:cantSplit/>
          <w:trHeight w:val="411"/>
        </w:trPr>
        <w:tc>
          <w:tcPr>
            <w:tcW w:w="950" w:type="dxa"/>
            <w:vMerge w:val="restart"/>
          </w:tcPr>
          <w:p w14:paraId="7FF99871" w14:textId="77777777" w:rsidR="0059517F" w:rsidRDefault="0059517F" w:rsidP="0059517F">
            <w:pPr>
              <w:ind w:left="360"/>
              <w:jc w:val="both"/>
              <w:rPr>
                <w:b/>
                <w:bCs/>
              </w:rPr>
            </w:pPr>
          </w:p>
        </w:tc>
        <w:tc>
          <w:tcPr>
            <w:tcW w:w="5424" w:type="dxa"/>
          </w:tcPr>
          <w:p w14:paraId="255A156C" w14:textId="645351D0" w:rsidR="0059517F" w:rsidRDefault="0059517F" w:rsidP="0059517F">
            <w:pPr>
              <w:pStyle w:val="Naslov2"/>
              <w:rPr>
                <w:sz w:val="22"/>
                <w:szCs w:val="22"/>
              </w:rPr>
            </w:pPr>
            <w:r>
              <w:rPr>
                <w:sz w:val="22"/>
                <w:szCs w:val="22"/>
              </w:rPr>
              <w:t>SVEUKUPNO SUSTAV CIVILNE ZAŠTITE ZA 202</w:t>
            </w:r>
            <w:r w:rsidR="00683D81">
              <w:rPr>
                <w:sz w:val="22"/>
                <w:szCs w:val="22"/>
              </w:rPr>
              <w:t>3</w:t>
            </w:r>
            <w:r>
              <w:rPr>
                <w:sz w:val="22"/>
                <w:szCs w:val="22"/>
              </w:rPr>
              <w:t>. GODINU</w:t>
            </w:r>
          </w:p>
        </w:tc>
        <w:tc>
          <w:tcPr>
            <w:tcW w:w="2835" w:type="dxa"/>
          </w:tcPr>
          <w:p w14:paraId="7E679415" w14:textId="5700E9A3" w:rsidR="0059517F" w:rsidRDefault="002E2848" w:rsidP="00683D81">
            <w:pPr>
              <w:pStyle w:val="Naslov2"/>
              <w:jc w:val="right"/>
              <w:rPr>
                <w:sz w:val="22"/>
                <w:szCs w:val="22"/>
              </w:rPr>
            </w:pPr>
            <w:r>
              <w:rPr>
                <w:sz w:val="22"/>
                <w:szCs w:val="22"/>
              </w:rPr>
              <w:t>30.854,50</w:t>
            </w:r>
          </w:p>
        </w:tc>
      </w:tr>
      <w:tr w:rsidR="0059517F" w14:paraId="26275558" w14:textId="66A8E33C" w:rsidTr="0059517F">
        <w:trPr>
          <w:cantSplit/>
          <w:trHeight w:val="421"/>
        </w:trPr>
        <w:tc>
          <w:tcPr>
            <w:tcW w:w="950" w:type="dxa"/>
            <w:vMerge/>
          </w:tcPr>
          <w:p w14:paraId="5F1D9825" w14:textId="77777777" w:rsidR="0059517F" w:rsidRDefault="0059517F" w:rsidP="0059517F">
            <w:pPr>
              <w:jc w:val="both"/>
              <w:rPr>
                <w:b/>
                <w:bCs/>
              </w:rPr>
            </w:pPr>
          </w:p>
        </w:tc>
        <w:tc>
          <w:tcPr>
            <w:tcW w:w="5424" w:type="dxa"/>
          </w:tcPr>
          <w:p w14:paraId="0D62ABD2" w14:textId="3960BCAD" w:rsidR="0059517F" w:rsidRDefault="0059517F" w:rsidP="0059517F">
            <w:pPr>
              <w:jc w:val="both"/>
              <w:rPr>
                <w:b/>
              </w:rPr>
            </w:pPr>
            <w:r>
              <w:rPr>
                <w:b/>
                <w:sz w:val="22"/>
                <w:szCs w:val="22"/>
              </w:rPr>
              <w:t xml:space="preserve">SVEUKUPNO SUSTAV CIVILNE ZAŠTITE ZA </w:t>
            </w:r>
            <w:r w:rsidR="00683D81">
              <w:rPr>
                <w:b/>
                <w:sz w:val="22"/>
                <w:szCs w:val="22"/>
              </w:rPr>
              <w:t>2024</w:t>
            </w:r>
            <w:r>
              <w:rPr>
                <w:b/>
                <w:sz w:val="22"/>
                <w:szCs w:val="22"/>
              </w:rPr>
              <w:t>. GODINU</w:t>
            </w:r>
          </w:p>
        </w:tc>
        <w:tc>
          <w:tcPr>
            <w:tcW w:w="2835" w:type="dxa"/>
          </w:tcPr>
          <w:p w14:paraId="78226D81" w14:textId="623FF3A8" w:rsidR="0059517F" w:rsidRDefault="006C30CB" w:rsidP="00683D81">
            <w:pPr>
              <w:jc w:val="right"/>
              <w:rPr>
                <w:b/>
                <w:sz w:val="22"/>
                <w:szCs w:val="22"/>
              </w:rPr>
            </w:pPr>
            <w:r>
              <w:rPr>
                <w:b/>
                <w:sz w:val="22"/>
                <w:szCs w:val="22"/>
              </w:rPr>
              <w:t>38.105,36</w:t>
            </w:r>
          </w:p>
        </w:tc>
      </w:tr>
      <w:tr w:rsidR="0059517F" w14:paraId="77744238" w14:textId="5BCFDF9A" w:rsidTr="0059517F">
        <w:trPr>
          <w:cantSplit/>
          <w:trHeight w:val="421"/>
        </w:trPr>
        <w:tc>
          <w:tcPr>
            <w:tcW w:w="950" w:type="dxa"/>
            <w:vMerge/>
          </w:tcPr>
          <w:p w14:paraId="4E01E437" w14:textId="77777777" w:rsidR="0059517F" w:rsidRDefault="0059517F" w:rsidP="0059517F">
            <w:pPr>
              <w:jc w:val="both"/>
              <w:rPr>
                <w:b/>
                <w:bCs/>
              </w:rPr>
            </w:pPr>
          </w:p>
        </w:tc>
        <w:tc>
          <w:tcPr>
            <w:tcW w:w="5424" w:type="dxa"/>
          </w:tcPr>
          <w:p w14:paraId="399CE441" w14:textId="6282B8C8" w:rsidR="0059517F" w:rsidRDefault="0059517F" w:rsidP="0059517F">
            <w:pPr>
              <w:jc w:val="both"/>
              <w:rPr>
                <w:b/>
                <w:sz w:val="22"/>
                <w:szCs w:val="22"/>
              </w:rPr>
            </w:pPr>
            <w:r>
              <w:rPr>
                <w:b/>
                <w:sz w:val="22"/>
                <w:szCs w:val="22"/>
              </w:rPr>
              <w:t xml:space="preserve">SVEUKUPNO SUSTAV CIVILNE ZAŠTITE ZA </w:t>
            </w:r>
            <w:r w:rsidR="00683D81">
              <w:rPr>
                <w:b/>
                <w:sz w:val="22"/>
                <w:szCs w:val="22"/>
              </w:rPr>
              <w:t>2025</w:t>
            </w:r>
            <w:r>
              <w:rPr>
                <w:b/>
                <w:sz w:val="22"/>
                <w:szCs w:val="22"/>
              </w:rPr>
              <w:t xml:space="preserve"> GODINU</w:t>
            </w:r>
          </w:p>
        </w:tc>
        <w:tc>
          <w:tcPr>
            <w:tcW w:w="2835" w:type="dxa"/>
          </w:tcPr>
          <w:p w14:paraId="50C20CF5" w14:textId="2469D7D3" w:rsidR="0059517F" w:rsidRDefault="002E2848" w:rsidP="00683D81">
            <w:pPr>
              <w:jc w:val="right"/>
              <w:rPr>
                <w:b/>
                <w:sz w:val="22"/>
                <w:szCs w:val="22"/>
              </w:rPr>
            </w:pPr>
            <w:r>
              <w:rPr>
                <w:b/>
                <w:sz w:val="22"/>
                <w:szCs w:val="22"/>
              </w:rPr>
              <w:t>31.000,00</w:t>
            </w:r>
          </w:p>
        </w:tc>
      </w:tr>
    </w:tbl>
    <w:p w14:paraId="695D97A4" w14:textId="77E45557" w:rsidR="00F62009" w:rsidRDefault="00000000">
      <w:pPr>
        <w:jc w:val="both"/>
      </w:pPr>
      <w:r>
        <w:t xml:space="preserve">Prema Zakonu o civilnoj zaštiti  izvršno tijelo jedinice lokalne samouprave odgovorno je za osnivanje, razvoj i financiranje, opremanje, osposobljavanje i uvježbavanje operativnih snaga, stoga se u Proračunu Općine Vladislavci za </w:t>
      </w:r>
      <w:r w:rsidR="00683D81">
        <w:t>2025</w:t>
      </w:r>
      <w:r>
        <w:t>. godinu, u skladu s ostalim posebnim propisima, planiraju slijedeće stavke:</w:t>
      </w:r>
    </w:p>
    <w:p w14:paraId="0A027E58" w14:textId="77777777" w:rsidR="00683D81" w:rsidRDefault="00683D81">
      <w:pPr>
        <w:jc w:val="both"/>
      </w:pPr>
    </w:p>
    <w:p w14:paraId="25CCF887" w14:textId="77777777" w:rsidR="0059517F" w:rsidRPr="00E125ED" w:rsidRDefault="0059517F">
      <w:pPr>
        <w:jc w:val="both"/>
      </w:pPr>
    </w:p>
    <w:p w14:paraId="468F6198" w14:textId="585BA771" w:rsidR="00F62009" w:rsidRDefault="00000000">
      <w:pPr>
        <w:jc w:val="both"/>
        <w:rPr>
          <w:b/>
          <w:bCs/>
        </w:rPr>
      </w:pPr>
      <w:r>
        <w:rPr>
          <w:b/>
          <w:bCs/>
        </w:rPr>
        <w:t>8. ZAVRŠNA ODREDBA</w:t>
      </w:r>
    </w:p>
    <w:p w14:paraId="059FD718" w14:textId="77777777" w:rsidR="00F62009" w:rsidRDefault="00000000">
      <w:pPr>
        <w:jc w:val="both"/>
      </w:pPr>
      <w:r>
        <w:t>Ovaj Plan objavit će se u  „Službenom glasniku“ Općine Vladislavci.</w:t>
      </w:r>
    </w:p>
    <w:p w14:paraId="600B6326" w14:textId="77777777" w:rsidR="00F62009" w:rsidRDefault="00F62009">
      <w:pPr>
        <w:jc w:val="both"/>
      </w:pPr>
    </w:p>
    <w:p w14:paraId="04D0F04C" w14:textId="3A09EB59" w:rsidR="0059517F" w:rsidRDefault="0059517F" w:rsidP="0059517F">
      <w:pPr>
        <w:jc w:val="both"/>
        <w:rPr>
          <w:lang w:eastAsia="en-US"/>
        </w:rPr>
      </w:pPr>
      <w:r>
        <w:rPr>
          <w:lang w:val="x-none" w:eastAsia="en-US"/>
        </w:rPr>
        <w:t xml:space="preserve">KLASA: </w:t>
      </w:r>
      <w:r>
        <w:rPr>
          <w:lang w:eastAsia="en-US"/>
        </w:rPr>
        <w:t>400-01/2</w:t>
      </w:r>
      <w:r w:rsidR="00683D81">
        <w:rPr>
          <w:lang w:eastAsia="en-US"/>
        </w:rPr>
        <w:t>4</w:t>
      </w:r>
      <w:r>
        <w:rPr>
          <w:lang w:eastAsia="en-US"/>
        </w:rPr>
        <w:t>-19/01</w:t>
      </w:r>
    </w:p>
    <w:p w14:paraId="5F6C2709" w14:textId="7B1E1DDA" w:rsidR="00F62009" w:rsidRDefault="00000000">
      <w:pPr>
        <w:jc w:val="both"/>
        <w:rPr>
          <w:lang w:val="sv-SE" w:eastAsia="en-US"/>
        </w:rPr>
      </w:pPr>
      <w:r>
        <w:rPr>
          <w:lang w:val="sv-SE" w:eastAsia="en-US"/>
        </w:rPr>
        <w:t>URBROJ: 2158-41-01-2</w:t>
      </w:r>
      <w:r w:rsidR="00683D81">
        <w:rPr>
          <w:lang w:val="sv-SE" w:eastAsia="en-US"/>
        </w:rPr>
        <w:t xml:space="preserve">4-2 </w:t>
      </w:r>
    </w:p>
    <w:p w14:paraId="381D1959" w14:textId="4AE1D72F" w:rsidR="00F62009" w:rsidRDefault="00000000" w:rsidP="00E125ED">
      <w:pPr>
        <w:jc w:val="both"/>
      </w:pPr>
      <w:r>
        <w:t xml:space="preserve">Vladislavci, </w:t>
      </w:r>
      <w:r w:rsidR="002E3219">
        <w:t>26</w:t>
      </w:r>
      <w:r>
        <w:t xml:space="preserve">. </w:t>
      </w:r>
      <w:r w:rsidR="00683D81">
        <w:t>studenoga</w:t>
      </w:r>
      <w:r>
        <w:t xml:space="preserve"> </w:t>
      </w:r>
      <w:r w:rsidR="00683D81">
        <w:t>2024</w:t>
      </w:r>
      <w:r>
        <w:t xml:space="preserve">. </w:t>
      </w:r>
    </w:p>
    <w:p w14:paraId="4F6233C9" w14:textId="77777777" w:rsidR="00F62009" w:rsidRDefault="00000000">
      <w:pPr>
        <w:ind w:firstLine="5220"/>
        <w:jc w:val="center"/>
        <w:rPr>
          <w:b/>
          <w:bCs/>
        </w:rPr>
      </w:pPr>
      <w:r>
        <w:rPr>
          <w:b/>
          <w:bCs/>
        </w:rPr>
        <w:t>Predsjednik</w:t>
      </w:r>
    </w:p>
    <w:p w14:paraId="056998AA" w14:textId="77777777" w:rsidR="00F62009" w:rsidRDefault="00000000">
      <w:pPr>
        <w:ind w:firstLine="5220"/>
        <w:jc w:val="center"/>
        <w:rPr>
          <w:b/>
          <w:bCs/>
        </w:rPr>
      </w:pPr>
      <w:r>
        <w:rPr>
          <w:b/>
          <w:bCs/>
        </w:rPr>
        <w:t>Općinskog Vijeća</w:t>
      </w:r>
    </w:p>
    <w:p w14:paraId="73F885BC" w14:textId="512B7D2F" w:rsidR="00F62009" w:rsidRDefault="00000000" w:rsidP="003D076B">
      <w:pPr>
        <w:ind w:firstLine="5220"/>
        <w:jc w:val="center"/>
      </w:pPr>
      <w:r>
        <w:t>Krunoslav Morovi</w:t>
      </w:r>
      <w:r w:rsidR="00E125ED">
        <w:t>ć</w:t>
      </w:r>
      <w:r w:rsidR="008526E8">
        <w:t>, v. r.</w:t>
      </w:r>
    </w:p>
    <w:sectPr w:rsidR="00F62009">
      <w:headerReference w:type="default" r:id="rId8"/>
      <w:footerReference w:type="even" r:id="rId9"/>
      <w:footerReference w:type="default" r:id="rId10"/>
      <w:pgSz w:w="11906" w:h="16838"/>
      <w:pgMar w:top="390" w:right="1417" w:bottom="426"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2D982" w14:textId="77777777" w:rsidR="00093F7D" w:rsidRDefault="00093F7D">
      <w:r>
        <w:separator/>
      </w:r>
    </w:p>
  </w:endnote>
  <w:endnote w:type="continuationSeparator" w:id="0">
    <w:p w14:paraId="24ECEBCF" w14:textId="77777777" w:rsidR="00093F7D" w:rsidRDefault="0009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870C3" w14:textId="77777777" w:rsidR="00F62009" w:rsidRDefault="00000000">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19CAB139" w14:textId="77777777" w:rsidR="00F62009" w:rsidRDefault="00F62009">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D7CF8" w14:textId="77777777" w:rsidR="00F62009" w:rsidRDefault="00F62009">
    <w:pPr>
      <w:pStyle w:val="Podnoje"/>
      <w:ind w:right="360"/>
    </w:pPr>
  </w:p>
  <w:p w14:paraId="5C2FF9C1" w14:textId="77777777" w:rsidR="00F62009" w:rsidRDefault="00F62009">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87B30" w14:textId="77777777" w:rsidR="00093F7D" w:rsidRDefault="00093F7D">
      <w:r>
        <w:separator/>
      </w:r>
    </w:p>
  </w:footnote>
  <w:footnote w:type="continuationSeparator" w:id="0">
    <w:p w14:paraId="2A2AF2D5" w14:textId="77777777" w:rsidR="00093F7D" w:rsidRDefault="00093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4E044" w14:textId="77777777" w:rsidR="00F62009" w:rsidRDefault="00F62009">
    <w:pPr>
      <w:pStyle w:val="Zaglavlje"/>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D3B64"/>
    <w:multiLevelType w:val="hybridMultilevel"/>
    <w:tmpl w:val="5CA6E156"/>
    <w:lvl w:ilvl="0" w:tplc="2120136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A8A64AA"/>
    <w:multiLevelType w:val="hybridMultilevel"/>
    <w:tmpl w:val="1714A92E"/>
    <w:lvl w:ilvl="0" w:tplc="041A000F">
      <w:start w:val="3"/>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3BCF217B"/>
    <w:multiLevelType w:val="hybridMultilevel"/>
    <w:tmpl w:val="4E684C9A"/>
    <w:lvl w:ilvl="0" w:tplc="2120136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ED24EBC"/>
    <w:multiLevelType w:val="hybridMultilevel"/>
    <w:tmpl w:val="A56A5CA0"/>
    <w:lvl w:ilvl="0" w:tplc="D7A09FA4">
      <w:start w:val="1"/>
      <w:numFmt w:val="decimal"/>
      <w:lvlText w:val="%1."/>
      <w:lvlJc w:val="left"/>
      <w:pPr>
        <w:tabs>
          <w:tab w:val="num" w:pos="720"/>
        </w:tabs>
        <w:ind w:left="720" w:hanging="360"/>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52E260EA"/>
    <w:multiLevelType w:val="hybridMultilevel"/>
    <w:tmpl w:val="4170C00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65C63266"/>
    <w:multiLevelType w:val="hybridMultilevel"/>
    <w:tmpl w:val="9ADEDA7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16cid:durableId="369691500">
    <w:abstractNumId w:val="4"/>
  </w:num>
  <w:num w:numId="2" w16cid:durableId="1463571810">
    <w:abstractNumId w:val="1"/>
  </w:num>
  <w:num w:numId="3" w16cid:durableId="115413665">
    <w:abstractNumId w:val="5"/>
  </w:num>
  <w:num w:numId="4" w16cid:durableId="1073426833">
    <w:abstractNumId w:val="0"/>
  </w:num>
  <w:num w:numId="5" w16cid:durableId="187766672">
    <w:abstractNumId w:val="3"/>
  </w:num>
  <w:num w:numId="6" w16cid:durableId="854422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009"/>
    <w:rsid w:val="00003C29"/>
    <w:rsid w:val="0000748C"/>
    <w:rsid w:val="0002759B"/>
    <w:rsid w:val="00082058"/>
    <w:rsid w:val="00093F7D"/>
    <w:rsid w:val="000C7ECF"/>
    <w:rsid w:val="001A01EF"/>
    <w:rsid w:val="001C7D56"/>
    <w:rsid w:val="002E2848"/>
    <w:rsid w:val="002E3219"/>
    <w:rsid w:val="002F08F0"/>
    <w:rsid w:val="002F2E28"/>
    <w:rsid w:val="00331B34"/>
    <w:rsid w:val="003B50EA"/>
    <w:rsid w:val="003D076B"/>
    <w:rsid w:val="003E4361"/>
    <w:rsid w:val="0045726A"/>
    <w:rsid w:val="00471F9A"/>
    <w:rsid w:val="00564259"/>
    <w:rsid w:val="0059517F"/>
    <w:rsid w:val="00665EAD"/>
    <w:rsid w:val="00683D81"/>
    <w:rsid w:val="006C30CB"/>
    <w:rsid w:val="006E3ACF"/>
    <w:rsid w:val="007148AA"/>
    <w:rsid w:val="008011F8"/>
    <w:rsid w:val="008526E8"/>
    <w:rsid w:val="008801AA"/>
    <w:rsid w:val="0097218D"/>
    <w:rsid w:val="009900E4"/>
    <w:rsid w:val="009C4B34"/>
    <w:rsid w:val="00A01671"/>
    <w:rsid w:val="00AE3EE5"/>
    <w:rsid w:val="00AE7619"/>
    <w:rsid w:val="00B6639D"/>
    <w:rsid w:val="00C76F8A"/>
    <w:rsid w:val="00D15090"/>
    <w:rsid w:val="00D53308"/>
    <w:rsid w:val="00DA29BE"/>
    <w:rsid w:val="00E125ED"/>
    <w:rsid w:val="00E83D1B"/>
    <w:rsid w:val="00F62009"/>
    <w:rsid w:val="00F84C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B406F"/>
  <w15:chartTrackingRefBased/>
  <w15:docId w15:val="{0247EC5C-F0DB-4256-A573-CB3C7F34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Naslov1">
    <w:name w:val="heading 1"/>
    <w:basedOn w:val="Normal"/>
    <w:next w:val="Normal"/>
    <w:link w:val="Naslov1Char"/>
    <w:qFormat/>
    <w:pPr>
      <w:keepNext/>
      <w:spacing w:before="240" w:after="60"/>
      <w:outlineLvl w:val="0"/>
    </w:pPr>
    <w:rPr>
      <w:rFonts w:ascii="Cambria" w:hAnsi="Cambria"/>
      <w:b/>
      <w:bCs/>
      <w:kern w:val="32"/>
      <w:sz w:val="32"/>
      <w:szCs w:val="32"/>
    </w:rPr>
  </w:style>
  <w:style w:type="paragraph" w:styleId="Naslov2">
    <w:name w:val="heading 2"/>
    <w:basedOn w:val="Normal"/>
    <w:next w:val="Normal"/>
    <w:qFormat/>
    <w:pPr>
      <w:keepNext/>
      <w:jc w:val="both"/>
      <w:outlineLvl w:val="1"/>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536"/>
        <w:tab w:val="right" w:pos="9072"/>
      </w:tabs>
    </w:pPr>
  </w:style>
  <w:style w:type="paragraph" w:styleId="Podnoje">
    <w:name w:val="footer"/>
    <w:basedOn w:val="Normal"/>
    <w:pPr>
      <w:tabs>
        <w:tab w:val="center" w:pos="4536"/>
        <w:tab w:val="right" w:pos="9072"/>
      </w:tabs>
    </w:pPr>
  </w:style>
  <w:style w:type="character" w:styleId="Brojstranice">
    <w:name w:val="page number"/>
    <w:basedOn w:val="Zadanifontodlomka"/>
  </w:style>
  <w:style w:type="paragraph" w:styleId="Bezproreda">
    <w:name w:val="No Spacing"/>
    <w:uiPriority w:val="1"/>
    <w:qFormat/>
    <w:rPr>
      <w:rFonts w:ascii="Calibri" w:eastAsia="Calibri" w:hAnsi="Calibri"/>
      <w:sz w:val="22"/>
      <w:szCs w:val="22"/>
      <w:lang w:eastAsia="en-US"/>
    </w:rPr>
  </w:style>
  <w:style w:type="paragraph" w:styleId="Tijeloteksta">
    <w:name w:val="Body Text"/>
    <w:basedOn w:val="Normal"/>
    <w:link w:val="TijelotekstaChar"/>
    <w:pPr>
      <w:jc w:val="both"/>
    </w:pPr>
    <w:rPr>
      <w:rFonts w:ascii="Arial" w:hAnsi="Arial"/>
      <w:lang w:eastAsia="en-US"/>
    </w:rPr>
  </w:style>
  <w:style w:type="character" w:customStyle="1" w:styleId="TijelotekstaChar">
    <w:name w:val="Tijelo teksta Char"/>
    <w:basedOn w:val="Zadanifontodlomka"/>
    <w:link w:val="Tijeloteksta"/>
    <w:rPr>
      <w:rFonts w:ascii="Arial" w:hAnsi="Arial"/>
      <w:sz w:val="24"/>
      <w:szCs w:val="24"/>
      <w:lang w:eastAsia="en-US"/>
    </w:rPr>
  </w:style>
  <w:style w:type="character" w:customStyle="1" w:styleId="Naslov1Char">
    <w:name w:val="Naslov 1 Char"/>
    <w:basedOn w:val="Zadanifontodlomka"/>
    <w:link w:val="Naslov1"/>
    <w:rPr>
      <w:rFonts w:ascii="Cambria" w:eastAsia="Times New Roman" w:hAnsi="Cambria" w:cs="Times New Roman"/>
      <w:b/>
      <w:bCs/>
      <w:kern w:val="32"/>
      <w:sz w:val="32"/>
      <w:szCs w:val="32"/>
    </w:rPr>
  </w:style>
  <w:style w:type="paragraph" w:styleId="StandardWeb">
    <w:name w:val="Normal (Web)"/>
    <w:basedOn w:val="Normal"/>
    <w:uiPriority w:val="99"/>
    <w:unhideWhenUsed/>
    <w:pPr>
      <w:spacing w:before="100" w:beforeAutospacing="1" w:after="100" w:afterAutospacing="1"/>
    </w:pPr>
    <w:rPr>
      <w:rFonts w:ascii="Arial" w:hAnsi="Arial" w:cs="Arial"/>
      <w:color w:val="000000"/>
      <w:sz w:val="18"/>
      <w:szCs w:val="18"/>
    </w:rPr>
  </w:style>
  <w:style w:type="paragraph" w:styleId="Odlomakpopisa">
    <w:name w:val="List Paragraph"/>
    <w:basedOn w:val="Normal"/>
    <w:uiPriority w:val="99"/>
    <w:qFormat/>
    <w:pPr>
      <w:spacing w:after="200" w:line="276" w:lineRule="auto"/>
      <w:ind w:left="720"/>
      <w:contextualSpacing/>
    </w:pPr>
    <w:rPr>
      <w:rFonts w:ascii="Calibri" w:hAnsi="Calibri"/>
      <w:sz w:val="22"/>
      <w:szCs w:val="22"/>
    </w:rPr>
  </w:style>
  <w:style w:type="paragraph" w:customStyle="1" w:styleId="t-9-8">
    <w:name w:val="t-9-8"/>
    <w:basedOn w:val="Normal"/>
    <w:pPr>
      <w:spacing w:before="100" w:beforeAutospacing="1" w:after="100" w:afterAutospacing="1"/>
    </w:pPr>
  </w:style>
  <w:style w:type="paragraph" w:styleId="Tekstbalonia">
    <w:name w:val="Balloon Text"/>
    <w:basedOn w:val="Normal"/>
    <w:link w:val="TekstbaloniaChar"/>
    <w:rPr>
      <w:rFonts w:ascii="Segoe UI" w:hAnsi="Segoe UI" w:cs="Segoe UI"/>
      <w:sz w:val="18"/>
      <w:szCs w:val="18"/>
    </w:rPr>
  </w:style>
  <w:style w:type="character" w:customStyle="1" w:styleId="TekstbaloniaChar">
    <w:name w:val="Tekst balončića Char"/>
    <w:basedOn w:val="Zadanifontodlomka"/>
    <w:link w:val="Tekstbaloni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416CD9-302B-40A2-AFF8-2358D12A7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694</Words>
  <Characters>3961</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temelju članka 17</vt:lpstr>
      <vt:lpstr>Na temelju članka 17</vt:lpstr>
    </vt:vector>
  </TitlesOfParts>
  <Company>Opcina Vladislavci</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17</dc:title>
  <dc:subject/>
  <dc:creator>Vladislavci</dc:creator>
  <cp:keywords/>
  <cp:lastModifiedBy>OpcinaPC2020</cp:lastModifiedBy>
  <cp:revision>36</cp:revision>
  <cp:lastPrinted>2024-11-22T08:00:00Z</cp:lastPrinted>
  <dcterms:created xsi:type="dcterms:W3CDTF">2019-12-13T08:42:00Z</dcterms:created>
  <dcterms:modified xsi:type="dcterms:W3CDTF">2024-11-22T08:33:00Z</dcterms:modified>
</cp:coreProperties>
</file>