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024afa045485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37033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VLADISLAVCI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2.449.532,25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3.052.308,01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1.208.278,08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1.688.503,59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1.241.254,17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1.363.804,42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40.021,90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38.883,85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1.178.369,73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2.123.138,88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1.138.347,83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2.084.255,03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356.147,19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1.036.332,14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107.063,05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522.318,77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249.084,14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514.013,37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206.437,24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 prosinca 2025. prihodi poslovanja iznosili su 3.052.308,01 EUR. Najznačajnije povećanje prihoda poslovanja ostvareno je od prihoda od  pomoći iz inozemstva i od subjekata unutar općeg proračuna i prihoda od imovine. Ukupni rashodi poslovanja u razdoblju od 1. siječnja do 31. prosinca 2025. ostvareni su u iznosu od 1.688.503,59 EUR. Najznačajnije povećanje rashoda evidentirano je na rashodima za zaposlene, materijalnim rashodima, financijskim rashodima, rashodima za pomoći dane u inozemstvo i unutar općeg proračuna. Prihodi od prodaje nefinancijske imovine u razdoblju od 1. siječnja do 31. prosinca 2025. ostvareni su u iznosu od 38.883,85 EUR, dok su rashodi za nabavu nefinancijske imovine u istom razdoblju ostvareni u iznosu od 2.123.138,88 EUR. U razdoblju do 1. siječnja do 31. prosinca 2025.  ostvareni su primici od financijske imovine i zaduživanja u iznosu od 1.036.332,14 EUR i izdaci za financijsku imovinu i otplate zajmova u iznosu od 522.318,77 EUR. U razdoblju od 1. siječnja do 31. prosinca 2025. ostvaren je manjak prihoda i primitaka u iznosu od 206.437,24 EUR. Preneseni višak prihoda i primitaka iznosi 65.239,54 EUR. Višak prihoda iz 2024. godine je sukladno Uputi umanjen za predujam za EU sredstva koji je u 2024. godini knjižen kao prihod. Manjak prihoda i primitaka za pokriće u sljedećem razdoblju iznosi 141.197,70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1.935.647,58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2.476.832,11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</w:tbl>
    <w:p>
      <w:pPr>
        <w:spacing w:before="0" w:after="0"/>
      </w:pPr>
    </w:p>
    <w:p>
      <w:r>
        <w:t xml:space="preserve">Pomoći iz inozemstva i od subjekta unutar općeg proračuna bilježe povećanje od 28 % u odnosu na isto izvještajno razdoblje 2024. godine. Razlog povećanja su više ostvarenih prihoda od pomoći fiskalnog izravnavanja , ostvarene kapitalne pomoći od izvanproračunskog korisnika, a kojih nije bilo ostvareno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540.525,81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766.831,12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r>
        <w:t xml:space="preserve">Rashodi za zaposlene bilježe povećanje od 41,9 % u odnosu na isto izvještajno razdoblje 2024. godine. Razlog većih ovih rashoda je što je 1.4.2024. godine zaposleno 33 dugotrajno nezaposlene osobe putem Programa "Zaželi bolji život u Općini Vladislavci 4" . U 2025. godini su nastali rashodi za njihove plaće za svih dvanaest mjeseci, dok je u 2024. godini u istom izvještajnom razdoblju nastalo rashoda za devet mjeseci.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341.310,87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480.948,27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140,9</w:t>
            </w:r>
          </w:p>
        </w:tc>
      </w:tr>
    </w:tbl>
    <w:p>
      <w:pPr>
        <w:spacing w:before="0" w:after="0"/>
      </w:pPr>
    </w:p>
    <w:p>
      <w:r>
        <w:t xml:space="preserve">Materijalni rashodi bilježe povećanje od 40,9 % u odnosu na isto izvještajno razdoblje 2024. godine. Razlog povećanja su veći ostvareni rashodi za usluge telefona, interneta, pošte i prijevoza,  komunalne usluge, intelektualne i osobne usluge, računalne i ostale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6.907,93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17.122,38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247,9</w:t>
            </w:r>
          </w:p>
        </w:tc>
      </w:tr>
    </w:tbl>
    <w:p>
      <w:pPr>
        <w:spacing w:before="0" w:after="0"/>
      </w:pPr>
    </w:p>
    <w:p>
      <w:r>
        <w:t xml:space="preserve">Financijski rashodi bilježe povećanje od 147,9 %  u odnosu na isto izvještajno razdoblje 2024. g. Razlog povećanja je ostvareno  više rashoda za kamate na primljeni dugoročni kredit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96.244,40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212.798,45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221,1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ostvarene su 121,1 % više u odnosu na isto izvještajno razdoblje 2024. g. Razlog povećanja je više ostvarenih rashoda za sufinanciranje cijene usluge dječjih vrtića i sufinanciranje područnog dječjeg vrtića Zeko.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neproizvedene dugotrajne imovine (šifre 711+712)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34.100,90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38.883,85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Prihodi od prodaje neproizvedene dugotrajne imovine naplaćeni su 14 % više u odnosu na isto izvještajno razdoblje 2024. g. Razlog povećanja je što je jedan obveznik platio dug iz prošle godine, a jedan obveznik je platio obvezu prije roka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1.178.369,73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2.123.138,88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180,2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veći su za 80,2 % u odnosu na isto izvještajno razdoblje 2024. g. Razlog više ostvarenih ovih rashoda je nastali rashodi kojih nije bilo u 2024. g. , a odnose se na rashode za stambene objekte (razvrgnuće suvlasničke zajednice), rashode za izgradnju, rekonstrukciju i održavanje otresnica, putne i kanalske mreže, javnih površina i površina uz općinske objekte, rashode za izgradnju i rekonstrukciju biciklističke infrastrukture, rashodi za postavljanje solarnih panela na objekte u vlasništvu Općine i na rashode za postavljanje solarnih autobusnih stajališta i energetsku obnovu Društvenog doma u Dopsinu.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356.147,19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1.036.332,14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291,0</w:t>
            </w:r>
          </w:p>
        </w:tc>
      </w:tr>
    </w:tbl>
    <w:p>
      <w:pPr>
        <w:spacing w:before="0" w:after="0"/>
      </w:pPr>
    </w:p>
    <w:p>
      <w:r>
        <w:t xml:space="preserve">Prihodi od financijske imovine i zaduživanja ostvareni su u iznosu od 1.036.332,14 EUR, a odnose se na primljene dugoročne kredite za izgradnju Dječjeg vrtića u Vladislavcima (Zeko), Projekt Interreg IPA Hrvatska Srbija i za izgradnju i rekonstrukciju biciklističke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107.063,05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522.318,77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487,9</w:t>
            </w:r>
          </w:p>
        </w:tc>
      </w:tr>
    </w:tbl>
    <w:p>
      <w:pPr>
        <w:spacing w:before="0" w:after="0"/>
      </w:pPr>
    </w:p>
    <w:p>
      <w:r>
        <w:t xml:space="preserve">Izdaci za financijsku imovinu i otplate zajmova ostvareni su u iznosu od 522.318,77 EUR, a odnose se na povrat dijela primljenog kredita za izgradnju Dječjeg vrtića Vladislavci (Zeko), za povrat dijela kredita za izgradnju bicklističke infrastrukture i oplatu dijela kredita za projekt Interreg IPA Hrvatska Srbija.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6.922.968,03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8.561.138,26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U bilancu su uneseni podaci iz Glavne knjige. Jednakosti među pojedinim pozicijama Bilance proizlaze iz propisanih knjigovodstvenih evidencija tako da Šifra B001 Imovina = Šifri B003 Obveze + Vlastiti izvori. Za ispravak vrijednosti dugotrajne imovine korištene su stope propisane prema važećem Pravilniku o računovodstvu i računskom planu za Proračune.</w:t>
      </w:r>
    </w:p>
    <w:p>
      <w:r>
        <w:t xml:space="preserve">Bilješka uz šifru B001 Imovina: imovina u izvještajno razdoblju veća je za 23,7 % u odnosu na izvještajno razdoblje prethodne godine, odnosno prikazana vrijednost na Šifri B001 na dan 31. prosinca 2025. godine iznosi 8.561.138,26 EUR.</w:t>
      </w:r>
    </w:p>
    <w:p>
      <w:r>
        <w:t xml:space="preserve">Bilješka uz Šifru 1 Financijska imovina: stanje na šifri 1 na dan 31.prosinca 2025. godine prikazuje smanjenje za 6,4 % u odnosu na isto izvještajno razdoblje 2024. godine.</w:t>
      </w:r>
    </w:p>
    <w:p>
      <w:r>
        <w:t xml:space="preserve">Općina Vladislavci nema sudskih sporova u tijeku.</w:t>
      </w:r>
    </w:p>
    <w:p>
      <w:r>
        <w:t xml:space="preserve">Ugovornih odnosa koji uz ispunjenje određenih uvjeta mogu postati obveza ili imovina u razdoblju od 1.1.2025. do 31.12.2025. nije bilo.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2.386.647,81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3.811.642,47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159,7</w:t>
            </w:r>
          </w:p>
        </w:tc>
      </w:tr>
    </w:tbl>
    <w:p>
      <w:pPr>
        <w:spacing w:before="0" w:after="0"/>
      </w:pPr>
    </w:p>
    <w:p>
      <w:r>
        <w:t xml:space="preserve">Funkcijski se klasificiraju rashodi poslovanja i rashodi za nabavu nefinancijske imovine, dok se izdaci za financijsku imovinu i otplate zajmova ne razvrstaju funkcijski te se ne uključuju u ovaj izvještaj.</w:t>
      </w:r>
    </w:p>
    <w:p>
      <w:r>
        <w:t xml:space="preserve">Izvještaj o rashodima prema funkcijskoj klasifikaciji ne šifri R1 odgovara iznosu na Y034 Ukupni rashodi u Obrascu PR-RAS u iznosu od 3.811.642,47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19.548,66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devetomjesečnog razdoblja iznosi 19.548,66 EUR, a nastalo je kao rezultat smanjenog priljeva proračunskih prihoda u odnosu na nastale obveze. U najvećem dijelu radi se o obvezama za materijalne rashode i na rashode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Vladislavci nema proračunskih korisnika u svojoj nadležnosti.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Vladislavci nema proračunskih korisnika u svojoj nadležnosti.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db1aa6ae8c4d32" /></Relationships>
</file>