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8f1ae596274904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37033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OPĆINA VLADISLAVCI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22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1.357.804,97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1.356.150,36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99,9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864.298,56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739.152,40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85,5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493.506,41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616.997,96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125,0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17.956,74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25.823,22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143,8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867.462,51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484.756,96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55,9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849.505,77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458.933,74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54,0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195.132,25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321.611,51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164,8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288.515,57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458.508,57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158,9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PRIMITAKA OD FINANCIJSKE IMOVINE I ZADUŽIVANJA (šifre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93.383,32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136.897,06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146,6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I PRIMITAKA (šifre X678-Y345)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21.167,16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U razdoblju od 1. siječnja do 30. lipnja 2026. prihodi poslovanja iznosili su 1.356.150,36 EUR. Najznačajnije povećanje prihoda poslovanja ostvareno je  od upravnih i administrativnih pristojbi, pristojbi po posebnim propisima i naknada. </w:t>
      </w:r>
    </w:p>
    <w:p>
      <w:r>
        <w:t xml:space="preserve"> Ukupni rashodi poslovanja u razdoblju od 1. siječnja do 30. lipnja 2026. ostvareni su u iznosu od 739.152,40 EUR. Prihodi od prodaje nefinancijske imovine u razdoblju od 1. siječnja do 30. lipnja 2026. ostvareni su u iznosu 25.823,22 EUR, dok su rashodi za nabavu nefinancijske imovine u istom razdoblju ostvareni u iznosu od 484.756,96 EUR. U razdoblju do 1. siječnja do 30. lipnja 2026.  ostvareni su primici od financijske imovine i zaduživanja u iznosu od 321.611,51 EUR i izdaci za financijsku imovinu i otplate zajmova u iznosu od 458.508,57 EUR. U razdoblju od 1. siječnja do 30. lipnja 2026. ostvaren je višak prihoda i primitaka u iznosu od 21.167,16 EUR. Preneseni manjak prihoda i primitaka iznosi 141.197,70 EUR. Manjak prihoda i primitaka za pokriće u sljedećem razdoblju iznosi 120.030,54 EUR.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upravnih i administrativnih pristojbi, pristojbi po posebnim propisima i naknada (šifre 651+652+653+654)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41.690,87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88.927,45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213,3</w:t>
            </w:r>
          </w:p>
        </w:tc>
      </w:tr>
    </w:tbl>
    <w:p>
      <w:pPr>
        <w:spacing w:before="0" w:after="0"/>
      </w:pPr>
    </w:p>
    <w:p>
      <w:r>
        <w:t xml:space="preserve">Do povećanja prihoda od upravnih i adminstrativnih pristojbi, pristojbi po posebnim propisima i naknada dolazi zbog toga što je u 2026. godini povećana cijena komunalne i grobne naknade.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Materijalni rashodi (šifre 321+322+323+324+325+329)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280.969,86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142.483,45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50,7</w:t>
            </w:r>
          </w:p>
        </w:tc>
      </w:tr>
    </w:tbl>
    <w:p>
      <w:pPr>
        <w:spacing w:before="0" w:after="0"/>
      </w:pPr>
    </w:p>
    <w:p>
      <w:r>
        <w:t xml:space="preserve">Materijalni rashodi bilježe smanjenje od 49,3 % u odnosu na isto izvještajno razdoblje 2025. godine. Razlog smanjenja su manje ostvareni rashodi za komunalne i ostale usluge te mjere za smanjivanje proračunskog manjka.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Financijski rashodi (šifre 341+342+343)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5.861,44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6.239,28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106,4</w:t>
            </w:r>
          </w:p>
        </w:tc>
      </w:tr>
    </w:tbl>
    <w:p>
      <w:pPr>
        <w:spacing w:before="0" w:after="0"/>
      </w:pPr>
    </w:p>
    <w:p>
      <w:r>
        <w:t xml:space="preserve">Financijski rashodi bilježe povećanje od 6,4 %  u odnosu na isto izvještajno razdoblje 2025. g. Razlog povećanja je ostvareno više rashoda za kamate na primljeni dugoročni kredit u odnosu na 2025. godinu.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Subvencije (šifre 351+352+353)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19.779,75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1.084,78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5,5</w:t>
            </w:r>
          </w:p>
        </w:tc>
      </w:tr>
    </w:tbl>
    <w:p>
      <w:pPr>
        <w:spacing w:before="0" w:after="0"/>
      </w:pPr>
    </w:p>
    <w:p>
      <w:r>
        <w:t xml:space="preserve">Subvencije bilježe pad od 94,5 % u odnosu na isto izvještajno razdoblje prethodne godine. Razlog smanjenja je što je otvoren područni Dječji vrtić Zeko Vladislavci i rashodi se više ne knjiže kao subvenije nego kao pomoći drugom proračunu.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Pomoći dane u inozemstvo i unutar općeg proračuna (šifre 361+362+363+365+366+367+368+369)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66.338,49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115.036,07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173,4</w:t>
            </w:r>
          </w:p>
        </w:tc>
      </w:tr>
    </w:tbl>
    <w:p>
      <w:pPr>
        <w:spacing w:before="0" w:after="0"/>
      </w:pPr>
    </w:p>
    <w:p>
      <w:r>
        <w:t xml:space="preserve">Pomoći dane u inozemstvo i unutar općeg proračuna ostvarene su 73,4 % više u odnosu na isto izvještajno razdoblje 2025. g. Razlog povećanja su nastali rashodi za sufinanciranje područnog Dječjeg vrtića Zeko, a kojih rashoda nije bilo u prvom polugodištu 2025. godine.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građanima i kućanstvima na temelju osiguranja i druge naknade (šifre 371+372)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36.034,22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21.727,46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60,3</w:t>
            </w:r>
          </w:p>
        </w:tc>
      </w:tr>
    </w:tbl>
    <w:p>
      <w:pPr>
        <w:spacing w:before="0" w:after="0"/>
      </w:pPr>
    </w:p>
    <w:p>
      <w:r>
        <w:t xml:space="preserve">Naknade građanima i kućanstvima ostvarene su 39,7 % manje u odnosu na isto izvještajno razdoblje 2025. g. Razlog smanjenja su mjere za smanjenje proračunskog manjka (ukidanje mjera putem Programa demografske obnove).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donacije, kazne, naknade šteta i kapitalne pomoći (šifre 381+382+383+386)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89.725,59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72.840,92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81,2</w:t>
            </w:r>
          </w:p>
        </w:tc>
      </w:tr>
    </w:tbl>
    <w:p>
      <w:pPr>
        <w:spacing w:before="0" w:after="0"/>
      </w:pPr>
    </w:p>
    <w:p>
      <w:r>
        <w:t xml:space="preserve">Rashodi za donacije, kazne, naknade šteta i kapitalne pomoći  ostvarene su 18,8 % manje u odnosu na isto izvještajno razdoblje 2025. g. Razlog smanjenja je manje isplaćenih tekućih donacija udrugama i sportskim klubovima na području Općine Vladislavci.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17.956,74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25.823,22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143,8</w:t>
            </w:r>
          </w:p>
        </w:tc>
      </w:tr>
    </w:tbl>
    <w:p>
      <w:pPr>
        <w:spacing w:before="0" w:after="0"/>
      </w:pPr>
    </w:p>
    <w:p>
      <w:r>
        <w:t xml:space="preserve">Prihodi od prodaje neproizvedene dugotrajne imovine naplaćeni su 43,8 % više u odnosu na isto izvještajno razdoblje 2025. g. Razlog povećanja je što su pojedini kupci platili obroke za prodaju Državnog poljoprivrednog zemljišta koji su bili u dospijeću do 1.12.2025 i zbog prodaje nekretnina u vlasništvu Općine Vladislavci.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867.462,51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484.756,96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55,9</w:t>
            </w:r>
          </w:p>
        </w:tc>
      </w:tr>
    </w:tbl>
    <w:p>
      <w:pPr>
        <w:spacing w:before="0" w:after="0"/>
      </w:pPr>
    </w:p>
    <w:p>
      <w:r>
        <w:t xml:space="preserve">Rashodi za nabavu proizvedene dugotrajne imovine manji su za 44,1 % u odnosu na isto izvještajno razdoblje 2025. g.  U 2025. godine u prvom polugodištu nastali su rashodi za izgradnju i opremanje Dječjeg vrtića Zeko, izgradnja solarnih elekrana na javne zgrade, uređenje pristupnih površina i okolišta Društvenog doma u Vladislavcima i Faza II. Uređenja DVD garaže, a kojih nije bilo u prvom polugodištu 2026. godine.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195.132,25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321.611,51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164,8</w:t>
            </w:r>
          </w:p>
        </w:tc>
      </w:tr>
    </w:tbl>
    <w:p>
      <w:pPr>
        <w:spacing w:before="0" w:after="0"/>
      </w:pPr>
    </w:p>
    <w:p>
      <w:r>
        <w:t xml:space="preserve">Prihodi od financijske imovine i zaduživanja ostvareni su u iznosu od 321.611,51 EUR, a odnose se na primljeni kredit  za izgradnju i rekonstrukciju biciklističke infrastrukture u Općini Vladislavci – Faza II.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288.515,57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458.508,57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158,9</w:t>
            </w:r>
          </w:p>
        </w:tc>
      </w:tr>
    </w:tbl>
    <w:p>
      <w:pPr>
        <w:spacing w:before="0" w:after="0"/>
      </w:pPr>
    </w:p>
    <w:p>
      <w:r>
        <w:t xml:space="preserve">Izdaci za financijsku imovinu i otplate zajmova ostvareni su u iznosu od 458.508,57 EUR, a odnose se na povrat dijela primljenog kredita za izgradnju bicklističke infrastrukture i oplatu dijela kredita za projekt Interreg IPA Hrvatska Srbija.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Prosječan broj zaposlenih u tijelima na osnovi stanja na početku i na kraju izvještajnog razdoblja (cijeli broj)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Z006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100</w:t>
            </w:r>
          </w:p>
        </w:tc>
      </w:tr>
    </w:tbl>
    <w:p>
      <w:pPr>
        <w:spacing w:before="0" w:after="0"/>
      </w:pPr>
    </w:p>
    <w:p>
      <w:r>
        <w:t xml:space="preserve">Prosječan broj zaposlenih u tijelima na osnovi stanja na početku i na kraju izvještajnog razdoblja je 42, a odnosi se na zaposlenike Općine Vladislavci i Program „Zaželi bolji život u Općini Vladislavci 4“.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Prosječan broj zaposlenih u tijelima na osnovi sati rada (cijeli broj)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Z008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41,00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102,4</w:t>
            </w:r>
          </w:p>
        </w:tc>
      </w:tr>
    </w:tbl>
    <w:p>
      <w:pPr>
        <w:spacing w:before="0" w:after="0"/>
      </w:pPr>
    </w:p>
    <w:p>
      <w:r>
        <w:t xml:space="preserve">Prosječan broj zaposlenih u tijelima na osnovi sati rada  je 42, a odnosi se na zaposlenike Općine Vladislavci i Program „Zaželi bolji život u Općini Vladislavci 4“.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13.976,33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Stanje  dospjelih obveza na kraju polugodišnjeg razdoblja iznosi 13.976,33 EUR, a nastalo je kao rezultat smanjenog priljeva proračunskih prihoda u odnosu na nastale obveze. U najvećem dijelu radi se o obvezama za materijalne rashode.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16.</w:t>
      </w:r>
    </w:p>
    <w:p>
      <w:pPr>
        <w:jc w:val="both"/>
        <w:pStyle w:val="Normal"/>
        <w:spacing w:line="240" w:lineRule="auto"/>
      </w:pPr>
      <w:r>
        <w:rPr>
          <w:b/>
          <w:sz w:val="24"/>
          <w:rFonts w:ascii="Times New Roman" w:hAnsi="Times New Roman"/>
        </w:rPr>
        <w:t xml:space="preserve">EU izvještaj</w:t>
      </w:r>
    </w:p>
    <w:p>
      <w:r>
        <w:t xml:space="preserve">U EU izvještaj po izvorima financiranja uneseni su ostvareni prihodi i rashodi za Projekt Zaželi bolji život u Općini Vladislavci 4, za Projekt Interreg Hrvatska - Srbija i Projekt izgradnje biciklističke infrastrukture na području Općine Vladislavci i izgradnju biciklističke infrastrukture Općine Vladislavci – Faza II. za čije smo provođenje dobili EU sredstva.</w:t>
      </w:r>
    </w:p>
    <w:p>
      <w:r>
        <w:t xml:space="preserve">Potraživanja po ugovorima o dodijeljenim bespovratnim sredstvima su se povećala, na početku izvještajnog razdoblja iznosila su 308.039,05 eura, a na kraju izvještajnog razdoblja iznose 500.406,96 eura. do povećanja dolazi zbog novog Ugovora o dodijeli bespovratnih sredstava za projekt izgradnje i rekonstrukcije biciklističke infrastrukture Općine Vladislavci - Faza II.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3e68fe62d9f4975" /></Relationships>
</file>